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rFonts w:ascii="Lato" w:cs="Lato" w:eastAsia="Lato" w:hAnsi="Lato"/>
            <w:color w:val="1155cc"/>
            <w:sz w:val="28"/>
            <w:szCs w:val="28"/>
            <w:highlight w:val="white"/>
            <w:u w:val="single"/>
            <w:rtl w:val="0"/>
          </w:rPr>
          <w:t xml:space="preserve">Mobile Device Security (7:47)</w:t>
        </w:r>
      </w:hyperlink>
      <w:hyperlink r:id="rId7">
        <w:r w:rsidDel="00000000" w:rsidR="00000000" w:rsidRPr="00000000">
          <w:rPr>
            <w:rFonts w:ascii="Lato" w:cs="Lato" w:eastAsia="Lato" w:hAnsi="Lato"/>
            <w:color w:val="1155cc"/>
            <w:sz w:val="24"/>
            <w:szCs w:val="24"/>
            <w:highlight w:val="white"/>
            <w:u w:val="single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linkedin.com/learning/comptia-a-plus-220-1002-cert-prep-7-portable-computing/mobile-device-security?u=42659292" TargetMode="External"/><Relationship Id="rId7" Type="http://schemas.openxmlformats.org/officeDocument/2006/relationships/hyperlink" Target="https://www.linkedin.com/learning/comptia-a-plus-220-1002-cert-prep-7-portable-computing/mobile-device-security?u=42659292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