
<file path=[Content_Types].xml><?xml version="1.0" encoding="utf-8"?>
<Types xmlns="http://schemas.openxmlformats.org/package/2006/content-types">
  <Default Extension="rels" ContentType="application/vnd.openxmlformats-package.relationships+xml"/>
  <Default Extension="xml" ContentType="application/xml"/>
  <Override PartName="/word/stylesWithEffects.xml" ContentType="application/vnd.ms-word.stylesWithEffects+xml"/>
  <Override PartName="/docProps/app.xml" ContentType="application/vnd.openxmlformats-officedocument.extended-properties+xml"/>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Default Extension="jpeg" ContentType="image/jpeg"/>
  <Default Extension="jpg" ContentType="image/jpeg"/>
  <Default Extension="png" ContentType="image/png"/>
  <Default Extension="tiff" ContentType="image/tiff"/>
  <Default Extension="gif" ContentType="image/gif"/>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mc:Ignorable="w14 wp14">
  <w:body>
    <w:p>
      <w:pPr>
        <w:pStyle w:val="Normal"/>
        <w:jc w:val="center"/>
      </w:pPr>
      <w:r>
        <w:rPr>
          <w:noProof/>
        </w:rPr>
        <w:drawing>
          <wp:inline distT="0" distB="0" distL="0" distR="0">
            <wp:extent cx="1647190" cy="485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0"/>
                    <a:stretch>
                      <a:fillRect/>
                    </a:stretch>
                  </pic:blipFill>
                  <pic:spPr bwMode="auto">
                    <a:xfrm>
                      <a:off x="0" y="0"/>
                      <a:ext cx="1647190" cy="485775"/>
                    </a:xfrm>
                    <a:prstGeom prst="rect">
                      <a:avLst/>
                    </a:prstGeom>
                    <a:noFill/>
                  </pic:spPr>
                </pic:pic>
              </a:graphicData>
            </a:graphic>
          </wp:inline>
        </w:drawing>
      </w:r>
    </w:p>
    <w:p>
      <w:pPr>
        <w:pStyle w:val="Normal"/>
        <w:jc w:val="center"/>
      </w:pPr>
      <w:r>
        <w:rPr>
          <w:b/>
        </w:rPr>
        <w:t>TACOMA COMMUNITY COLLEGE</w:t>
      </w:r>
    </w:p>
    <w:p>
      <w:pPr>
        <w:pStyle w:val="Normal"/>
        <w:jc w:val="center"/>
      </w:pPr>
    </w:p>
    <w:p>
      <w:pPr>
        <w:pStyle w:val="Normal"/>
      </w:pPr>
      <w:r>
        <w:rPr>
          <w:b/>
          <w:sz w:val="32"/>
        </w:rPr>
        <w:t xml:space="preserve">Course: </w:t>
      </w:r>
      <w:r>
        <w:rPr>
          <w:b/>
          <w:sz w:val="32"/>
        </w:rPr>
        <w:t>LOG 1</w:t>
      </w:r>
      <w:r>
        <w:rPr>
          <w:b/>
          <w:sz w:val="32"/>
        </w:rPr>
        <w:t>1</w:t>
      </w:r>
      <w:r>
        <w:rPr>
          <w:b/>
          <w:sz w:val="32"/>
        </w:rPr>
        <w:t xml:space="preserve">0 </w:t>
      </w:r>
      <w:r>
        <w:rPr>
          <w:b/>
          <w:sz w:val="32"/>
        </w:rPr>
        <w:t>International Logistics</w:t>
      </w:r>
      <w:r>
        <w:rPr>
          <w:b/>
        </w:rPr>
        <w:t xml:space="preserve"> </w:t>
      </w:r>
      <w:r>
        <w:rPr>
          <w:b/>
        </w:rPr>
        <w:t xml:space="preserve">  </w:t>
      </w:r>
      <w:r>
        <w:rPr>
          <w:b/>
        </w:rPr>
        <w:tab/>
      </w:r>
      <w:r>
        <w:rPr>
          <w:b/>
        </w:rPr>
        <w:t xml:space="preserve">      </w:t>
      </w:r>
      <w:r>
        <w:rPr>
          <w:b/>
          <w:sz w:val="32"/>
        </w:rPr>
        <w:t xml:space="preserve">Winter </w:t>
      </w:r>
      <w:r>
        <w:rPr>
          <w:b/>
          <w:sz w:val="32"/>
        </w:rPr>
        <w:t>201</w:t>
      </w:r>
      <w:r>
        <w:rPr>
          <w:b/>
          <w:sz w:val="32"/>
        </w:rPr>
        <w:t>3</w:t>
      </w:r>
    </w:p>
    <w:p>
      <w:pPr>
        <w:pStyle w:val="Normal"/>
      </w:pPr>
      <w:r>
        <w:rPr>
          <w:b/>
        </w:rPr>
        <w:t>Item</w:t>
      </w:r>
      <w:r>
        <w:rPr>
          <w:b/>
        </w:rPr>
        <w:t>s</w:t>
      </w:r>
      <w:r>
        <w:rPr>
          <w:b/>
        </w:rPr>
        <w:t>: 172</w:t>
      </w:r>
      <w:r>
        <w:rPr>
          <w:b/>
        </w:rPr>
        <w:t>1 and 1722</w:t>
      </w:r>
    </w:p>
    <w:p>
      <w:pPr>
        <w:pStyle w:val="Normal"/>
      </w:pPr>
      <w:r>
        <w:rPr>
          <w:b/>
        </w:rPr>
        <w:t>Credit hours: 3</w:t>
      </w:r>
    </w:p>
    <w:p>
      <w:pPr>
        <w:pStyle w:val="Normal"/>
      </w:pPr>
      <w:r>
        <w:rPr>
          <w:b/>
        </w:rPr>
        <w:t xml:space="preserve">Class meets on </w:t>
      </w:r>
      <w:r>
        <w:rPr>
          <w:b/>
        </w:rPr>
        <w:t>T</w:t>
      </w:r>
      <w:r>
        <w:rPr>
          <w:b/>
        </w:rPr>
        <w:t xml:space="preserve">uesdays </w:t>
      </w:r>
      <w:r>
        <w:rPr>
          <w:b/>
        </w:rPr>
        <w:t xml:space="preserve">from </w:t>
      </w:r>
      <w:r>
        <w:rPr>
          <w:b/>
        </w:rPr>
        <w:t>4:</w:t>
      </w:r>
      <w:r>
        <w:rPr>
          <w:b/>
        </w:rPr>
        <w:t>00</w:t>
      </w:r>
      <w:r>
        <w:rPr>
          <w:b/>
        </w:rPr>
        <w:t xml:space="preserve"> until </w:t>
      </w:r>
      <w:r>
        <w:rPr>
          <w:b/>
        </w:rPr>
        <w:t>6:00</w:t>
      </w:r>
      <w:r>
        <w:rPr>
          <w:b/>
        </w:rPr>
        <w:t xml:space="preserve"> pm</w:t>
      </w:r>
      <w:r>
        <w:rPr>
          <w:b/>
        </w:rPr>
        <w:t xml:space="preserve"> in </w:t>
      </w:r>
      <w:r>
        <w:rPr>
          <w:b/>
        </w:rPr>
        <w:t xml:space="preserve">Building </w:t>
      </w:r>
      <w:r>
        <w:rPr>
          <w:b/>
        </w:rPr>
        <w:t>16</w:t>
      </w:r>
      <w:r>
        <w:rPr>
          <w:b/>
        </w:rPr>
        <w:t xml:space="preserve">, Room </w:t>
      </w:r>
      <w:r>
        <w:rPr>
          <w:b/>
        </w:rPr>
        <w:t>208</w:t>
      </w:r>
      <w:r>
        <w:rPr>
          <w:b/>
        </w:rPr>
        <w:tab/>
      </w:r>
      <w:r>
        <w:rPr>
          <w:b/>
        </w:rPr>
        <w:tab/>
      </w:r>
      <w:r>
        <w:rPr>
          <w:b/>
        </w:rPr>
        <w:tab/>
      </w:r>
      <w:r>
        <w:rPr>
          <w:b/>
        </w:rPr>
        <w:tab/>
      </w:r>
      <w:r>
        <w:rPr>
          <w:b/>
        </w:rPr>
        <w:tab/>
      </w:r>
      <w:r>
        <w:rPr>
          <w:b/>
        </w:rPr>
        <w:tab/>
      </w:r>
      <w:r>
        <w:rPr>
          <w:b/>
        </w:rPr>
        <w:tab/>
      </w:r>
      <w:r>
        <w:rPr>
          <w:b/>
        </w:rPr>
        <w:tab/>
      </w:r>
      <w:r>
        <w:rPr>
          <w:b/>
        </w:rPr>
        <w:tab/>
      </w:r>
    </w:p>
    <w:p>
      <w:pPr>
        <w:pStyle w:val="Normal"/>
      </w:pPr>
    </w:p>
    <w:p>
      <w:pPr>
        <w:pStyle w:val="Normal"/>
      </w:pPr>
      <w:r>
        <w:rPr>
          <w:b/>
        </w:rPr>
        <w:t>Instructor:</w:t>
      </w:r>
      <w:r>
        <w:rPr>
          <w:b/>
        </w:rPr>
        <w:tab/>
      </w:r>
      <w:r>
        <w:rPr>
          <w:b/>
        </w:rPr>
        <w:tab/>
      </w:r>
      <w:r>
        <w:rPr/>
        <w:t>Helmut Kellermann</w:t>
      </w:r>
    </w:p>
    <w:p>
      <w:pPr>
        <w:pStyle w:val="Normal"/>
      </w:pPr>
      <w:r>
        <w:rPr>
          <w:b/>
        </w:rPr>
        <w:t>E-</w:t>
      </w:r>
      <w:r>
        <w:rPr>
          <w:b/>
        </w:rPr>
        <w:t>mail:</w:t>
      </w:r>
      <w:r>
        <w:rPr>
          <w:b/>
        </w:rPr>
        <w:tab/>
      </w:r>
      <w:r>
        <w:rPr>
          <w:b/>
        </w:rPr>
        <w:tab/>
      </w:r>
      <w:hyperlink r:id="rId2">
        <w:r>
          <w:rPr>
            <w:rStyle w:val="Hyperlink"/>
            <w:b/>
          </w:rPr>
          <w:t>hkellermann@tacomacc.edu</w:t>
        </w:r>
      </w:hyperlink>
      <w:r>
        <w:rPr>
          <w:b/>
        </w:rPr>
        <w:t xml:space="preserve">  </w:t>
      </w:r>
      <w:r>
        <w:rPr>
          <w:b/>
        </w:rPr>
        <w:tab/>
        <w:t xml:space="preserve"> Phone: (253) </w:t>
      </w:r>
      <w:r>
        <w:rPr>
          <w:b/>
        </w:rPr>
        <w:t>845</w:t>
      </w:r>
      <w:r>
        <w:rPr>
          <w:b/>
        </w:rPr>
        <w:t>-</w:t>
      </w:r>
      <w:r>
        <w:rPr>
          <w:b/>
        </w:rPr>
        <w:t>2367</w:t>
      </w:r>
    </w:p>
    <w:p>
      <w:pPr>
        <w:pStyle w:val="Normal"/>
      </w:pPr>
    </w:p>
    <w:p>
      <w:pPr>
        <w:pStyle w:val="Normal"/>
      </w:pPr>
      <w:r>
        <w:rPr/>
        <w:t xml:space="preserve">Office hours:  Before or after class as needed.  </w:t>
      </w:r>
    </w:p>
    <w:p>
      <w:pPr>
        <w:pStyle w:val="Normal"/>
      </w:pPr>
    </w:p>
    <w:p>
      <w:pPr>
        <w:pStyle w:val="Normal"/>
      </w:pPr>
      <w:r>
        <w:rPr>
          <w:b/>
          <w:u w:val="single"/>
        </w:rPr>
        <w:t>Course Description:</w:t>
      </w:r>
      <w:r>
        <w:rPr>
          <w:b/>
        </w:rPr>
        <w:t xml:space="preserve"> </w:t>
      </w:r>
      <w:r>
        <w:rPr>
          <w:b/>
        </w:rPr>
        <w:t xml:space="preserve"> </w:t>
      </w:r>
      <w:r>
        <w:rPr/>
        <w:t xml:space="preserve">This course is an introduction </w:t>
      </w:r>
      <w:r>
        <w:rPr/>
        <w:t xml:space="preserve">to international logistics and covers concepts important to </w:t>
      </w:r>
      <w:r>
        <w:rPr/>
        <w:t xml:space="preserve">anyone interested or </w:t>
      </w:r>
      <w:r>
        <w:rPr/>
        <w:t>engaged</w:t>
      </w:r>
      <w:r>
        <w:rPr/>
        <w:t xml:space="preserve"> in </w:t>
      </w:r>
      <w:r>
        <w:rPr/>
        <w:t>international trade</w:t>
      </w:r>
      <w:r>
        <w:rPr/>
        <w:t xml:space="preserve">.  </w:t>
      </w:r>
      <w:r>
        <w:rPr/>
        <w:t>Students will get an overview of global trade</w:t>
      </w:r>
      <w:r>
        <w:rPr/>
        <w:t xml:space="preserve"> and</w:t>
      </w:r>
      <w:r>
        <w:rPr/>
        <w:t xml:space="preserve"> learn global trade strategies as well as methods to use international logistics as a competitive advantage.</w:t>
      </w:r>
    </w:p>
    <w:p>
      <w:pPr>
        <w:pStyle w:val="prerequisites"/>
      </w:pPr>
      <w:r>
        <w:rPr>
          <w:b/>
          <w:i/>
          <w:u w:val="single"/>
          <w:rFonts w:ascii="Times New Roman" w:hAnsi="Times New Roman"/>
          <w:sz w:val="24"/>
        </w:rPr>
        <w:t>Prerequisite:</w:t>
      </w:r>
      <w:r>
        <w:rPr>
          <w:i/>
          <w:rFonts w:ascii="Times New Roman" w:hAnsi="Times New Roman"/>
          <w:sz w:val="24"/>
        </w:rPr>
        <w:t xml:space="preserve"> College-level English required</w:t>
      </w:r>
      <w:r>
        <w:rPr>
          <w:i/>
          <w:rFonts w:ascii="Times New Roman" w:hAnsi="Times New Roman"/>
          <w:sz w:val="24"/>
        </w:rPr>
        <w:t>.</w:t>
      </w:r>
    </w:p>
    <w:p>
      <w:pPr>
        <w:pStyle w:val="Normal"/>
      </w:pPr>
      <w:r>
        <w:rPr>
          <w:b/>
          <w:u w:val="single"/>
        </w:rPr>
        <w:t>Course Structure</w:t>
      </w:r>
      <w:r>
        <w:rPr>
          <w:b/>
          <w:u w:val="single"/>
        </w:rPr>
        <w:t xml:space="preserve"> and Instructional Methods</w:t>
      </w:r>
      <w:r>
        <w:rPr>
          <w:b/>
          <w:u w:val="single"/>
        </w:rPr>
        <w:t>:</w:t>
      </w:r>
      <w:r>
        <w:rPr>
          <w:b/>
        </w:rPr>
        <w:t xml:space="preserve">  </w:t>
      </w:r>
      <w:r>
        <w:rPr>
          <w:b/>
        </w:rPr>
        <w:t>This is a lecture course.</w:t>
      </w:r>
      <w:r>
        <w:rPr>
          <w:b/>
        </w:rPr>
        <w:t xml:space="preserve">  </w:t>
      </w:r>
      <w:r>
        <w:rPr/>
        <w:t xml:space="preserve">Knowledge and skills will be </w:t>
      </w:r>
      <w:r>
        <w:rPr/>
        <w:t>acquired</w:t>
      </w:r>
      <w:r>
        <w:rPr/>
        <w:t xml:space="preserve"> through lectures, class discussions, </w:t>
      </w:r>
      <w:r>
        <w:rPr/>
        <w:t xml:space="preserve">the use of the text book, </w:t>
      </w:r>
      <w:r>
        <w:rPr/>
        <w:t>and independent</w:t>
      </w:r>
      <w:r>
        <w:rPr/>
        <w:t xml:space="preserve"> research and study</w:t>
      </w:r>
      <w:r>
        <w:rPr/>
        <w:t xml:space="preserve">.  </w:t>
      </w:r>
      <w:r>
        <w:rPr/>
        <w:t xml:space="preserve">This course utilizes the school’s Angel system and </w:t>
      </w:r>
      <w:r>
        <w:rPr/>
        <w:t>students are required to take exams and submit assignments online.</w:t>
      </w:r>
    </w:p>
    <w:p>
      <w:pPr>
        <w:pStyle w:val="Normal"/>
      </w:pPr>
    </w:p>
    <w:p>
      <w:pPr>
        <w:pStyle w:val="Normal"/>
      </w:pPr>
      <w:r>
        <w:rPr>
          <w:b/>
          <w:u w:val="single"/>
        </w:rPr>
        <w:t>Text:</w:t>
      </w:r>
      <w:r>
        <w:rPr>
          <w:b/>
        </w:rPr>
        <w:t xml:space="preserve">  </w:t>
      </w:r>
      <w:r>
        <w:rPr>
          <w:b/>
        </w:rPr>
        <w:t>International Logistics</w:t>
      </w:r>
      <w:r>
        <w:rPr>
          <w:b/>
        </w:rPr>
        <w:t xml:space="preserve"> – The Management of International Trade Operations</w:t>
      </w:r>
      <w:r>
        <w:rPr>
          <w:b/>
        </w:rPr>
        <w:t xml:space="preserve">, </w:t>
      </w:r>
      <w:r>
        <w:rPr>
          <w:b/>
        </w:rPr>
        <w:t>Third</w:t>
      </w:r>
      <w:r>
        <w:rPr>
          <w:b/>
        </w:rPr>
        <w:t xml:space="preserve"> Edition, by </w:t>
      </w:r>
      <w:r>
        <w:rPr>
          <w:b/>
        </w:rPr>
        <w:t>Pierre David and Richard Stewart</w:t>
      </w:r>
      <w:r>
        <w:rPr>
          <w:b/>
        </w:rPr>
        <w:t>; ISBN</w:t>
      </w:r>
      <w:r>
        <w:rPr>
          <w:b/>
        </w:rPr>
        <w:t xml:space="preserve">-13: </w:t>
      </w:r>
      <w:r>
        <w:rPr>
          <w:b/>
        </w:rPr>
        <w:t>978-</w:t>
      </w:r>
      <w:r>
        <w:rPr>
          <w:b/>
        </w:rPr>
        <w:t>1</w:t>
      </w:r>
      <w:r>
        <w:rPr>
          <w:b/>
        </w:rPr>
        <w:t>-</w:t>
      </w:r>
      <w:r>
        <w:rPr>
          <w:b/>
        </w:rPr>
        <w:t>111-46498-1</w:t>
      </w:r>
    </w:p>
    <w:p>
      <w:pPr>
        <w:pStyle w:val="Normal"/>
      </w:pPr>
    </w:p>
    <w:p>
      <w:pPr>
        <w:pStyle w:val="Normal"/>
      </w:pPr>
      <w:r>
        <w:rPr>
          <w:b/>
          <w:u w:val="single"/>
        </w:rPr>
        <w:t>College-wide Student Learning Outcomes</w:t>
      </w:r>
      <w:r>
        <w:rPr>
          <w:b/>
        </w:rPr>
        <w:t xml:space="preserve">:  </w:t>
      </w:r>
      <w:r>
        <w:rPr/>
        <w:t xml:space="preserve">Tacoma Community College has identified five college-wide student learning outcomes that form the foundation of our educational emphasis:  1) communication </w:t>
      </w:r>
      <w:r>
        <w:rPr>
          <w:b/>
        </w:rPr>
        <w:t>(COM)</w:t>
      </w:r>
      <w:r>
        <w:rPr/>
        <w:t xml:space="preserve">, 2) critical thinking &amp; problem-solving </w:t>
      </w:r>
      <w:r>
        <w:rPr>
          <w:b/>
        </w:rPr>
        <w:t>(CRT)</w:t>
      </w:r>
      <w:r>
        <w:rPr/>
        <w:t xml:space="preserve">, 3) responsibility &amp; ethics </w:t>
      </w:r>
      <w:r>
        <w:rPr>
          <w:b/>
        </w:rPr>
        <w:t>(RES)</w:t>
      </w:r>
      <w:r>
        <w:rPr/>
        <w:t xml:space="preserve">, 4) information &amp; information technology </w:t>
      </w:r>
      <w:r>
        <w:rPr>
          <w:b/>
        </w:rPr>
        <w:t>(IIT)</w:t>
      </w:r>
      <w:r>
        <w:rPr/>
        <w:t xml:space="preserve">, and 5) living &amp; working cooperatively </w:t>
      </w:r>
      <w:r>
        <w:rPr>
          <w:b/>
        </w:rPr>
        <w:t>(LWC)</w:t>
      </w:r>
      <w:r>
        <w:rPr/>
        <w:t xml:space="preserve">.   </w:t>
      </w:r>
    </w:p>
    <w:p>
      <w:pPr>
        <w:pStyle w:val="Normal"/>
      </w:pPr>
    </w:p>
    <w:p>
      <w:pPr>
        <w:pStyle w:val="Normal"/>
      </w:pPr>
      <w:r>
        <w:rPr>
          <w:b/>
          <w:u w:val="single"/>
        </w:rPr>
        <w:t>Course Goals/Objectives:</w:t>
      </w:r>
      <w:r>
        <w:rPr>
          <w:b/>
        </w:rPr>
        <w:t xml:space="preserve">  </w:t>
      </w:r>
      <w:r>
        <w:rPr/>
        <w:t xml:space="preserve">The principal objective of this course is to acquaint the student with the basics of international logistics and the complexities of the international supply chain.  Upon </w:t>
      </w:r>
      <w:r>
        <w:rPr/>
        <w:t xml:space="preserve">successfully completing this course, the </w:t>
      </w:r>
      <w:r>
        <w:rPr/>
        <w:t>s</w:t>
      </w:r>
      <w:r>
        <w:rPr/>
        <w:t>tudent</w:t>
      </w:r>
      <w:r>
        <w:rPr/>
        <w:t xml:space="preserve"> </w:t>
      </w:r>
      <w:r>
        <w:rPr/>
        <w:t>will be able to:</w:t>
      </w:r>
      <w:r>
        <w:rPr>
          <w:b/>
        </w:rPr>
        <w:t xml:space="preserve">       </w:t>
      </w:r>
    </w:p>
    <w:p>
      <w:pPr>
        <w:pStyle w:val="Normal"/>
      </w:pPr>
      <w:r>
        <w:rPr>
          <w:b/>
        </w:rPr>
        <w:t xml:space="preserve">           </w:t>
      </w:r>
    </w:p>
    <w:p>
      <w:pPr>
        <w:pStyle w:val="Normal"/>
        <w:numPr>
          <w:ilvl w:val="0"/>
          <w:numId w:val="1834949211"/>
        </w:numPr>
      </w:pPr>
      <w:r>
        <w:rPr/>
        <w:t>Discuss some of the similarities and differences between domestic and international shipments.</w:t>
      </w:r>
      <w:r>
        <w:rPr/>
        <w:t xml:space="preserve"> (</w:t>
      </w:r>
      <w:r>
        <w:rPr/>
        <w:t>COM</w:t>
      </w:r>
      <w:r>
        <w:rPr/>
        <w:t>)</w:t>
      </w:r>
    </w:p>
    <w:p>
      <w:pPr>
        <w:pStyle w:val="Normal"/>
        <w:numPr>
          <w:ilvl w:val="0"/>
          <w:numId w:val="1834949211"/>
        </w:numPr>
      </w:pPr>
      <w:r>
        <w:rPr/>
        <w:t>Discuss the factors that influence a company’s decision to enter international markets.</w:t>
      </w:r>
      <w:r>
        <w:rPr/>
        <w:t xml:space="preserve"> (CRT)</w:t>
      </w:r>
    </w:p>
    <w:p>
      <w:pPr>
        <w:pStyle w:val="Normal"/>
        <w:numPr>
          <w:ilvl w:val="0"/>
          <w:numId w:val="1834949211"/>
        </w:numPr>
      </w:pPr>
      <w:r>
        <w:rPr/>
        <w:t>List the market entry strategies available to companies in the international marketplace, and the advantages and disadvantages of each.</w:t>
      </w:r>
      <w:r>
        <w:rPr/>
        <w:t xml:space="preserve"> (</w:t>
      </w:r>
      <w:r>
        <w:rPr/>
        <w:t>IIT</w:t>
      </w:r>
      <w:r>
        <w:rPr/>
        <w:t>)</w:t>
      </w:r>
    </w:p>
    <w:p>
      <w:pPr>
        <w:pStyle w:val="Normal"/>
        <w:numPr>
          <w:ilvl w:val="0"/>
          <w:numId w:val="1834949211"/>
        </w:numPr>
      </w:pPr>
      <w:r>
        <w:rPr/>
        <w:t xml:space="preserve">Understand the risks involved in </w:t>
      </w:r>
      <w:r>
        <w:rPr/>
        <w:t>international logistics</w:t>
      </w:r>
      <w:r>
        <w:rPr/>
        <w:t xml:space="preserve"> </w:t>
      </w:r>
      <w:r>
        <w:rPr/>
        <w:t>and how</w:t>
      </w:r>
      <w:r>
        <w:rPr/>
        <w:t xml:space="preserve"> to mitigate them.</w:t>
      </w:r>
      <w:r>
        <w:rPr/>
        <w:t xml:space="preserve"> (CRT)</w:t>
      </w:r>
    </w:p>
    <w:p>
      <w:pPr>
        <w:pStyle w:val="Normal"/>
        <w:numPr>
          <w:ilvl w:val="0"/>
          <w:numId w:val="1834949211"/>
        </w:numPr>
      </w:pPr>
      <w:r>
        <w:rPr/>
        <w:t>Discuss the types of organizations involved in exporting.</w:t>
      </w:r>
      <w:r>
        <w:rPr/>
        <w:t xml:space="preserve"> (</w:t>
      </w:r>
      <w:r>
        <w:rPr/>
        <w:t>IIT</w:t>
      </w:r>
      <w:r>
        <w:rPr/>
        <w:t>)</w:t>
      </w:r>
    </w:p>
    <w:p>
      <w:pPr>
        <w:pStyle w:val="Normal"/>
        <w:numPr>
          <w:ilvl w:val="0"/>
          <w:numId w:val="1834949211"/>
        </w:numPr>
      </w:pPr>
      <w:r>
        <w:rPr/>
        <w:t xml:space="preserve">Describe </w:t>
      </w:r>
      <w:r>
        <w:rPr/>
        <w:t xml:space="preserve">and understand the use of </w:t>
      </w:r>
      <w:r>
        <w:rPr/>
        <w:t>some of the most widely used documentation required in exporting and why accuracy is important.</w:t>
      </w:r>
      <w:r>
        <w:rPr/>
        <w:t xml:space="preserve"> (CRT</w:t>
      </w:r>
      <w:r>
        <w:rPr/>
        <w:t>)</w:t>
      </w:r>
    </w:p>
    <w:p>
      <w:pPr>
        <w:pStyle w:val="Normal"/>
        <w:numPr>
          <w:ilvl w:val="0"/>
          <w:numId w:val="1834949211"/>
        </w:numPr>
      </w:pPr>
      <w:r>
        <w:rPr/>
        <w:t>Explain INCOTERMS and how they relate to international trade.</w:t>
      </w:r>
      <w:r>
        <w:rPr/>
        <w:t xml:space="preserve"> (C</w:t>
      </w:r>
      <w:r>
        <w:rPr/>
        <w:t>OM</w:t>
      </w:r>
      <w:r>
        <w:rPr/>
        <w:t>)</w:t>
      </w:r>
    </w:p>
    <w:p>
      <w:pPr>
        <w:pStyle w:val="Normal"/>
        <w:numPr>
          <w:ilvl w:val="0"/>
          <w:numId w:val="1834949211"/>
        </w:numPr>
      </w:pPr>
      <w:r>
        <w:rPr/>
        <w:t>Discuss “Foreign Trade Zones” and how they can benefit the importer and exporter.</w:t>
      </w:r>
      <w:r>
        <w:rPr/>
        <w:t xml:space="preserve">  </w:t>
      </w:r>
      <w:r>
        <w:rPr/>
        <w:t>(</w:t>
      </w:r>
      <w:r>
        <w:rPr/>
        <w:t>CRT</w:t>
      </w:r>
      <w:r>
        <w:rPr/>
        <w:t>)</w:t>
      </w:r>
    </w:p>
    <w:p>
      <w:pPr>
        <w:pStyle w:val="Normal"/>
        <w:numPr>
          <w:ilvl w:val="0"/>
          <w:numId w:val="1834949211"/>
        </w:numPr>
      </w:pPr>
      <w:r>
        <w:rPr/>
        <w:t>Define and discuss some of the basic terms associated with global logistics activities.</w:t>
      </w:r>
      <w:r>
        <w:rPr/>
        <w:t xml:space="preserve">  (</w:t>
      </w:r>
      <w:r>
        <w:rPr/>
        <w:t>IIT,</w:t>
      </w:r>
      <w:r>
        <w:rPr/>
        <w:t xml:space="preserve"> COM)</w:t>
      </w:r>
    </w:p>
    <w:p>
      <w:pPr>
        <w:pStyle w:val="Normal"/>
        <w:numPr>
          <w:ilvl w:val="0"/>
          <w:numId w:val="1834949211"/>
        </w:numPr>
      </w:pPr>
      <w:r>
        <w:rPr/>
        <w:t>Utilize the World Wide Web to research assignments and gain enhanced knowledge. (R</w:t>
      </w:r>
      <w:r>
        <w:rPr/>
        <w:t>E</w:t>
      </w:r>
      <w:r>
        <w:rPr/>
        <w:t>S, IIT)</w:t>
      </w:r>
    </w:p>
    <w:p>
      <w:pPr>
        <w:pStyle w:val="Normal"/>
      </w:pPr>
      <w:r>
        <w:rPr>
          <w:b/>
        </w:rPr>
        <w:t xml:space="preserve">  </w:t>
      </w:r>
    </w:p>
    <w:p>
      <w:pPr>
        <w:pStyle w:val="Normal"/>
      </w:pPr>
      <w:r>
        <w:rPr>
          <w:b/>
          <w:u w:val="single"/>
        </w:rPr>
        <w:t>Other Required Resources:</w:t>
      </w:r>
    </w:p>
    <w:p>
      <w:pPr>
        <w:pStyle w:val="Normal"/>
      </w:pPr>
    </w:p>
    <w:p>
      <w:pPr>
        <w:pStyle w:val="Normal"/>
        <w:numPr>
          <w:ilvl w:val="0"/>
          <w:numId w:val="2083676010"/>
        </w:numPr>
      </w:pPr>
      <w:r>
        <w:rPr/>
        <w:t xml:space="preserve">Adequate preparation time. You are expected to be an active participant in your learning process.  This means you need to </w:t>
      </w:r>
      <w:r>
        <w:rPr/>
        <w:t xml:space="preserve">listen to the lectures, </w:t>
      </w:r>
      <w:r>
        <w:rPr/>
        <w:t>read the text</w:t>
      </w:r>
      <w:r>
        <w:rPr/>
        <w:t xml:space="preserve">, </w:t>
      </w:r>
      <w:r>
        <w:rPr/>
        <w:t xml:space="preserve">complete the assignments, </w:t>
      </w:r>
      <w:r>
        <w:rPr/>
        <w:t>and do the required outside research.</w:t>
      </w:r>
    </w:p>
    <w:p>
      <w:pPr>
        <w:pStyle w:val="Normal"/>
        <w:numPr>
          <w:ilvl w:val="0"/>
          <w:numId w:val="2083676010"/>
        </w:numPr>
      </w:pPr>
      <w:r>
        <w:rPr/>
        <w:t>Responsibility for your own learning.  You have the responsibility for your own development</w:t>
      </w:r>
      <w:r>
        <w:rPr/>
        <w:t xml:space="preserve"> and are responsible for planning and pacing yourself.  </w:t>
      </w:r>
    </w:p>
    <w:p>
      <w:pPr>
        <w:pStyle w:val="Normal"/>
        <w:numPr>
          <w:ilvl w:val="0"/>
          <w:numId w:val="2083676010"/>
        </w:numPr>
      </w:pPr>
      <w:r>
        <w:rPr/>
        <w:t xml:space="preserve">Access to a computer that supports internet access.  Class information, </w:t>
      </w:r>
      <w:r>
        <w:rPr/>
        <w:t xml:space="preserve">exams, lectures, </w:t>
      </w:r>
      <w:r>
        <w:rPr/>
        <w:t xml:space="preserve">assignments, and grades will be posted on the class </w:t>
      </w:r>
      <w:r>
        <w:rPr/>
        <w:t>Angel</w:t>
      </w:r>
      <w:r>
        <w:rPr/>
        <w:t xml:space="preserve"> web site.  In addition, assignments will be submitted via this site.</w:t>
      </w:r>
    </w:p>
    <w:p>
      <w:pPr>
        <w:pStyle w:val="Normal"/>
      </w:pPr>
    </w:p>
    <w:p>
      <w:pPr>
        <w:pStyle w:val="Normal"/>
      </w:pPr>
      <w:r>
        <w:rPr>
          <w:b/>
          <w:u w:val="single"/>
        </w:rPr>
        <w:t xml:space="preserve">Performance </w:t>
      </w:r>
      <w:r>
        <w:rPr>
          <w:b/>
          <w:u w:val="single"/>
        </w:rPr>
        <w:t>E</w:t>
      </w:r>
      <w:r>
        <w:rPr>
          <w:b/>
          <w:u w:val="single"/>
        </w:rPr>
        <w:t>valuation</w:t>
      </w:r>
      <w:r>
        <w:rPr>
          <w:b/>
          <w:u w:val="single"/>
        </w:rPr>
        <w:t>:</w:t>
      </w:r>
      <w:r>
        <w:rPr>
          <w:b/>
        </w:rPr>
        <w:t xml:space="preserve">   </w:t>
      </w:r>
      <w:r>
        <w:rPr/>
        <w:t>Your performance will be evaluated on the total number of points that you earn during the quarter.  The course components and their point values are:</w:t>
      </w:r>
    </w:p>
    <w:tbl>
      <w:tblGrid>
        <w:gridCol w:w="4428"/>
        <w:gridCol w:w="4428"/>
      </w:tblGrid>
      <w:tr>
        <w:tc>
          <w:tcPr>
            <w:tcBorders>
              <w:top w:val="single" w:sz="4" w:color="#000000"/>
              <w:bottom w:val="single" w:sz="4" w:color="#000000"/>
              <w:left w:val="single" w:sz="4" w:color="#000000"/>
              <w:right w:val="single" w:sz="4" w:color="#000000"/>
            </w:tcBorders>
            <w:vAlign w:val="top"/>
          </w:tcPr>
          <w:p>
            <w:pPr>
              <w:pStyle w:val="Normal"/>
              <w:jc w:val="center"/>
            </w:pPr>
            <w:r>
              <w:rPr>
                <w:b/>
              </w:rPr>
              <w:t>Component</w:t>
            </w:r>
          </w:p>
        </w:tc>
        <w:tc>
          <w:tcPr>
            <w:tcBorders>
              <w:top w:val="single" w:sz="4" w:color="#000000"/>
              <w:bottom w:val="single" w:sz="4" w:color="#000000"/>
              <w:left w:val="single" w:sz="4" w:color="#000000"/>
              <w:right w:val="single" w:sz="4" w:color="#000000"/>
            </w:tcBorders>
            <w:vAlign w:val="top"/>
          </w:tcPr>
          <w:p>
            <w:pPr>
              <w:pStyle w:val="Normal"/>
              <w:jc w:val="center"/>
            </w:pPr>
            <w:r>
              <w:rPr>
                <w:b/>
              </w:rPr>
              <w:t>Points Available</w:t>
            </w:r>
          </w:p>
        </w:tc>
      </w:tr>
      <w:tr>
        <w:tc>
          <w:tcPr>
            <w:tcBorders>
              <w:top w:val="single" w:sz="4" w:color="#000000"/>
              <w:bottom w:val="single" w:sz="4" w:color="#000000"/>
              <w:left w:val="single" w:sz="4" w:color="#000000"/>
              <w:right w:val="single" w:sz="4" w:color="#000000"/>
            </w:tcBorders>
            <w:vAlign w:val="top"/>
          </w:tcPr>
          <w:p>
            <w:pPr>
              <w:pStyle w:val="Normal"/>
              <w:jc w:val="center"/>
            </w:pPr>
            <w:r>
              <w:rPr/>
              <w:t>Exams ( 2 @ 1</w:t>
            </w:r>
            <w:r>
              <w:rPr/>
              <w:t>6</w:t>
            </w:r>
            <w:r>
              <w:rPr/>
              <w:t>0</w:t>
            </w:r>
            <w:r>
              <w:rPr/>
              <w:t xml:space="preserve"> points each)</w:t>
            </w:r>
          </w:p>
        </w:tc>
        <w:tc>
          <w:tcPr>
            <w:tcBorders>
              <w:top w:val="single" w:sz="4" w:color="#000000"/>
              <w:bottom w:val="single" w:sz="4" w:color="#000000"/>
              <w:left w:val="single" w:sz="4" w:color="#000000"/>
              <w:right w:val="single" w:sz="4" w:color="#000000"/>
            </w:tcBorders>
            <w:vAlign w:val="top"/>
          </w:tcPr>
          <w:p>
            <w:pPr>
              <w:pStyle w:val="Normal"/>
              <w:jc w:val="center"/>
            </w:pPr>
            <w:r>
              <w:rPr/>
              <w:t>3</w:t>
            </w:r>
            <w:r>
              <w:rPr/>
              <w:t>20</w:t>
            </w:r>
          </w:p>
        </w:tc>
      </w:tr>
      <w:tr>
        <w:tc>
          <w:tcPr>
            <w:tcBorders>
              <w:top w:val="single" w:sz="4" w:color="#000000"/>
              <w:bottom w:val="single" w:sz="4" w:color="#000000"/>
              <w:left w:val="single" w:sz="4" w:color="#000000"/>
              <w:right w:val="single" w:sz="4" w:color="#000000"/>
            </w:tcBorders>
            <w:vAlign w:val="top"/>
          </w:tcPr>
          <w:p>
            <w:pPr>
              <w:pStyle w:val="Normal"/>
              <w:jc w:val="center"/>
            </w:pPr>
            <w:r>
              <w:rPr/>
              <w:t xml:space="preserve">Assignments </w:t>
            </w:r>
            <w:r>
              <w:rPr/>
              <w:t xml:space="preserve">from text book     </w:t>
            </w:r>
            <w:r>
              <w:rPr/>
              <w:t xml:space="preserve">( </w:t>
            </w:r>
            <w:r>
              <w:rPr/>
              <w:t xml:space="preserve">minimum </w:t>
            </w:r>
            <w:r>
              <w:rPr/>
              <w:t>11</w:t>
            </w:r>
            <w:r>
              <w:rPr/>
              <w:t xml:space="preserve"> @ </w:t>
            </w:r>
            <w:r>
              <w:rPr/>
              <w:t>10</w:t>
            </w:r>
            <w:r>
              <w:rPr/>
              <w:t xml:space="preserve"> points each</w:t>
            </w:r>
            <w:r>
              <w:rPr/>
              <w:t>)</w:t>
            </w:r>
          </w:p>
        </w:tc>
        <w:tc>
          <w:tcPr>
            <w:tcBorders>
              <w:top w:val="single" w:sz="4" w:color="#000000"/>
              <w:bottom w:val="single" w:sz="4" w:color="#000000"/>
              <w:left w:val="single" w:sz="4" w:color="#000000"/>
              <w:right w:val="single" w:sz="4" w:color="#000000"/>
            </w:tcBorders>
            <w:vAlign w:val="top"/>
          </w:tcPr>
          <w:p>
            <w:pPr>
              <w:pStyle w:val="Normal"/>
              <w:jc w:val="center"/>
            </w:pPr>
            <w:r>
              <w:rPr/>
              <w:t>110</w:t>
            </w:r>
            <w:r>
              <w:rPr/>
              <w:t>+</w:t>
            </w:r>
          </w:p>
        </w:tc>
      </w:tr>
      <w:tr>
        <w:tc>
          <w:tcPr>
            <w:tcBorders>
              <w:top w:val="single" w:sz="4" w:color="#000000"/>
              <w:bottom w:val="single" w:sz="4" w:color="#000000"/>
              <w:left w:val="single" w:sz="4" w:color="#000000"/>
              <w:right w:val="single" w:sz="4" w:color="#000000"/>
            </w:tcBorders>
            <w:vAlign w:val="top"/>
          </w:tcPr>
          <w:p>
            <w:pPr>
              <w:pStyle w:val="Normal"/>
            </w:pPr>
            <w:r>
              <w:rPr>
                <w:b/>
              </w:rPr>
              <w:t xml:space="preserve">   </w:t>
            </w:r>
            <w:r>
              <w:rPr/>
              <w:t>Writing assignments</w:t>
            </w:r>
            <w:r>
              <w:rPr/>
              <w:t>/research</w:t>
            </w:r>
            <w:r>
              <w:rPr/>
              <w:t xml:space="preserve"> (</w:t>
            </w:r>
            <w:r>
              <w:rPr/>
              <w:t xml:space="preserve">minimum </w:t>
            </w:r>
            <w:r>
              <w:rPr/>
              <w:t>3</w:t>
            </w:r>
            <w:r>
              <w:rPr/>
              <w:t xml:space="preserve"> @ </w:t>
            </w:r>
            <w:r>
              <w:rPr/>
              <w:t>3</w:t>
            </w:r>
            <w:r>
              <w:rPr/>
              <w:t>0 points each)</w:t>
            </w:r>
          </w:p>
        </w:tc>
        <w:tc>
          <w:tcPr>
            <w:tcBorders>
              <w:top w:val="single" w:sz="4" w:color="#000000"/>
              <w:bottom w:val="single" w:sz="4" w:color="#000000"/>
              <w:left w:val="single" w:sz="4" w:color="#000000"/>
              <w:right w:val="single" w:sz="4" w:color="#000000"/>
            </w:tcBorders>
            <w:vAlign w:val="top"/>
          </w:tcPr>
          <w:p>
            <w:pPr>
              <w:pStyle w:val="Normal"/>
            </w:pPr>
            <w:r>
              <w:rPr>
                <w:b/>
              </w:rPr>
              <w:t xml:space="preserve">                                </w:t>
            </w:r>
            <w:r>
              <w:rPr/>
              <w:t>90</w:t>
            </w:r>
            <w:r>
              <w:rPr/>
              <w:t>+</w:t>
            </w:r>
          </w:p>
        </w:tc>
      </w:tr>
      <w:tr>
        <w:tc>
          <w:tcPr>
            <w:tcBorders>
              <w:top w:val="single" w:sz="4" w:color="#000000"/>
              <w:bottom w:val="single" w:sz="4" w:color="#000000"/>
              <w:left w:val="single" w:sz="4" w:color="#000000"/>
              <w:right w:val="single" w:sz="4" w:color="#000000"/>
            </w:tcBorders>
            <w:vAlign w:val="top"/>
          </w:tcPr>
          <w:p>
            <w:pPr>
              <w:pStyle w:val="Normal"/>
              <w:jc w:val="center"/>
            </w:pPr>
            <w:r>
              <w:rPr/>
              <w:t>Lecture attendance and evaluation</w:t>
            </w:r>
          </w:p>
        </w:tc>
        <w:tc>
          <w:tcPr>
            <w:tcBorders>
              <w:top w:val="single" w:sz="4" w:color="#000000"/>
              <w:bottom w:val="single" w:sz="4" w:color="#000000"/>
              <w:left w:val="single" w:sz="4" w:color="#000000"/>
              <w:right w:val="single" w:sz="4" w:color="#000000"/>
            </w:tcBorders>
            <w:vAlign w:val="top"/>
          </w:tcPr>
          <w:p>
            <w:pPr>
              <w:pStyle w:val="Normal"/>
            </w:pPr>
            <w:r>
              <w:rPr>
                <w:b/>
              </w:rPr>
              <w:t xml:space="preserve">  </w:t>
            </w:r>
            <w:r>
              <w:rPr>
                <w:b/>
              </w:rPr>
              <w:t xml:space="preserve">                            </w:t>
            </w:r>
            <w:r>
              <w:rPr/>
              <w:t xml:space="preserve"> 100</w:t>
            </w:r>
          </w:p>
        </w:tc>
      </w:tr>
      <w:tr>
        <w:tc>
          <w:tcPr>
            <w:tcBorders>
              <w:top w:val="single" w:sz="4" w:color="#000000"/>
              <w:bottom w:val="single" w:sz="4" w:color="#000000"/>
              <w:left w:val="single" w:sz="4" w:color="#000000"/>
              <w:right w:val="single" w:sz="4" w:color="#000000"/>
            </w:tcBorders>
            <w:vAlign w:val="top"/>
          </w:tcPr>
          <w:p>
            <w:pPr>
              <w:pStyle w:val="Normal"/>
              <w:jc w:val="center"/>
            </w:pPr>
            <w:r>
              <w:rPr>
                <w:b/>
              </w:rPr>
              <w:t>Total Points Available</w:t>
            </w:r>
          </w:p>
        </w:tc>
        <w:tc>
          <w:tcPr>
            <w:tcBorders>
              <w:top w:val="single" w:sz="4" w:color="#000000"/>
              <w:bottom w:val="single" w:sz="4" w:color="#000000"/>
              <w:left w:val="single" w:sz="4" w:color="#000000"/>
              <w:right w:val="single" w:sz="4" w:color="#000000"/>
            </w:tcBorders>
            <w:vAlign w:val="top"/>
          </w:tcPr>
          <w:p>
            <w:pPr>
              <w:pStyle w:val="Normal"/>
            </w:pPr>
            <w:r>
              <w:rPr>
                <w:b/>
              </w:rPr>
              <w:t xml:space="preserve">                             </w:t>
            </w:r>
            <w:r>
              <w:rPr>
                <w:b/>
              </w:rPr>
              <w:t xml:space="preserve"> </w:t>
            </w:r>
            <w:r>
              <w:rPr>
                <w:b/>
              </w:rPr>
              <w:t xml:space="preserve"> 6</w:t>
            </w:r>
            <w:r>
              <w:rPr>
                <w:b/>
              </w:rPr>
              <w:t>20</w:t>
            </w:r>
            <w:r>
              <w:rPr>
                <w:b/>
              </w:rPr>
              <w:t xml:space="preserve"> +</w:t>
            </w:r>
          </w:p>
        </w:tc>
      </w:tr>
    </w:tbl>
    <w:p>
      <w:pPr>
        <w:pStyle w:val="Normal"/>
      </w:pPr>
    </w:p>
    <w:p>
      <w:pPr>
        <w:pStyle w:val="Normal"/>
      </w:pPr>
      <w:r>
        <w:rPr/>
        <w:t xml:space="preserve">At the instructor’s discretion, other point components may be </w:t>
      </w:r>
      <w:r>
        <w:rPr/>
        <w:t>added.</w:t>
      </w:r>
    </w:p>
    <w:p>
      <w:pPr>
        <w:pStyle w:val="Normal"/>
        <w:ind w:left="720"/>
      </w:pPr>
    </w:p>
    <w:p>
      <w:pPr>
        <w:pStyle w:val="Normal"/>
        <w:numPr>
          <w:ilvl w:val="0"/>
          <w:numId w:val="338965136"/>
        </w:numPr>
      </w:pPr>
      <w:r>
        <w:rPr>
          <w:b/>
          <w:u w:val="single"/>
        </w:rPr>
        <w:t>EXAM</w:t>
      </w:r>
      <w:r>
        <w:rPr/>
        <w:t xml:space="preserve"> dates will </w:t>
      </w:r>
      <w:r>
        <w:rPr/>
        <w:t xml:space="preserve">be </w:t>
      </w:r>
      <w:r>
        <w:rPr/>
        <w:t xml:space="preserve">in line with the TCC standard schedule and will be </w:t>
      </w:r>
      <w:r>
        <w:rPr/>
        <w:t xml:space="preserve">communicated </w:t>
      </w:r>
      <w:r>
        <w:rPr/>
        <w:t xml:space="preserve">in class and via e-mail.  </w:t>
      </w:r>
      <w:r>
        <w:rPr/>
        <w:t xml:space="preserve">The tests make up a </w:t>
      </w:r>
      <w:r>
        <w:rPr/>
        <w:t xml:space="preserve">approximately </w:t>
      </w:r>
      <w:r>
        <w:rPr/>
        <w:t>50% of your grade; i</w:t>
      </w:r>
      <w:r>
        <w:rPr/>
        <w:t>f you</w:t>
      </w:r>
      <w:r>
        <w:rPr/>
        <w:t xml:space="preserve"> listened to the lectures,</w:t>
      </w:r>
      <w:r>
        <w:rPr/>
        <w:t xml:space="preserve"> </w:t>
      </w:r>
      <w:r>
        <w:rPr/>
        <w:t>kept up with assignment</w:t>
      </w:r>
      <w:r>
        <w:rPr/>
        <w:t>s,</w:t>
      </w:r>
      <w:r>
        <w:rPr/>
        <w:t xml:space="preserve"> </w:t>
      </w:r>
      <w:r>
        <w:rPr/>
        <w:t xml:space="preserve">and read the assigned material, you should be well prepared for the exams.  </w:t>
      </w:r>
      <w:r>
        <w:rPr/>
        <w:t xml:space="preserve">The midterm </w:t>
      </w:r>
      <w:r>
        <w:rPr/>
        <w:t xml:space="preserve">exam will cover chapters 1-8 (or 9) </w:t>
      </w:r>
      <w:r>
        <w:rPr/>
        <w:t xml:space="preserve">and the final </w:t>
      </w:r>
      <w:r>
        <w:rPr/>
        <w:t xml:space="preserve">exam </w:t>
      </w:r>
      <w:r>
        <w:rPr/>
        <w:t xml:space="preserve">will cover </w:t>
      </w:r>
      <w:r>
        <w:rPr/>
        <w:t xml:space="preserve">the balance of the chapters.  </w:t>
      </w:r>
      <w:r>
        <w:rPr/>
        <w:t xml:space="preserve"> </w:t>
      </w:r>
      <w:r>
        <w:rPr/>
        <w:t xml:space="preserve">All questions will be true/false </w:t>
      </w:r>
      <w:r>
        <w:rPr/>
        <w:t>or</w:t>
      </w:r>
      <w:r>
        <w:rPr/>
        <w:t xml:space="preserve"> multiple choice</w:t>
      </w:r>
      <w:r>
        <w:rPr/>
        <w:t xml:space="preserve"> and will be based on information provided in class or by the </w:t>
      </w:r>
      <w:r>
        <w:rPr/>
        <w:t>textbook.</w:t>
      </w:r>
      <w:r>
        <w:rPr/>
        <w:t xml:space="preserve">  </w:t>
      </w:r>
      <w:r>
        <w:rPr/>
        <w:t xml:space="preserve">These exams will test </w:t>
      </w:r>
      <w:r>
        <w:rPr/>
        <w:t xml:space="preserve">how well you studied and understand </w:t>
      </w:r>
      <w:r>
        <w:rPr/>
        <w:t>the subject matter.</w:t>
      </w:r>
    </w:p>
    <w:p>
      <w:pPr>
        <w:pStyle w:val="Normal"/>
      </w:pPr>
    </w:p>
    <w:p>
      <w:pPr>
        <w:pStyle w:val="Normal"/>
        <w:numPr>
          <w:ilvl w:val="0"/>
          <w:numId w:val="338965136"/>
        </w:numPr>
      </w:pPr>
      <w:r>
        <w:rPr>
          <w:b/>
          <w:u w:val="single"/>
        </w:rPr>
        <w:t xml:space="preserve">WITHDRAWAL </w:t>
      </w:r>
      <w:r>
        <w:rPr>
          <w:b/>
          <w:u w:val="single"/>
        </w:rPr>
        <w:t>PER TCC’s</w:t>
      </w:r>
      <w:r>
        <w:rPr>
          <w:b/>
          <w:u w:val="single"/>
        </w:rPr>
        <w:t xml:space="preserve"> POLICY:</w:t>
      </w:r>
      <w:r>
        <w:rPr>
          <w:b/>
          <w:rFonts w:ascii="Arial" w:hAnsi="Arial"/>
        </w:rPr>
        <w:t xml:space="preserve">  </w:t>
      </w:r>
      <w:r>
        <w:rPr>
          <w:rFonts w:ascii="Arial" w:hAnsi="Arial"/>
        </w:rPr>
        <w:t xml:space="preserve"> </w:t>
      </w:r>
      <w:r>
        <w:rPr/>
        <w:t>(W grade assigned by registration):  “While faculty permission is not required, a completed add/drop form must be submitted to Registration and Records to complete drops from the 11</w:t>
      </w:r>
      <w:r>
        <w:rPr>
          <w:vertAlign w:val="superscript"/>
        </w:rPr>
        <w:t>th</w:t>
      </w:r>
      <w:r>
        <w:rPr/>
        <w:t xml:space="preserve"> instructional day through the 55</w:t>
      </w:r>
      <w:r>
        <w:rPr>
          <w:vertAlign w:val="superscript"/>
        </w:rPr>
        <w:t>th</w:t>
      </w:r>
      <w:r>
        <w:rPr/>
        <w:t xml:space="preserve"> calendar day of the quarter”.  “The instructor must sign the form or [send] an e-mail to Registration, acknowledging the withdrawal.  If the instructor is not available, a signature from a full-time advisor in the Advising Center is an acceptable substitute.”   (Please refer to TCC’s catalogue for policies </w:t>
      </w:r>
      <w:r>
        <w:rPr/>
        <w:t>covering withdrawals</w:t>
      </w:r>
      <w:r>
        <w:rPr/>
        <w:t xml:space="preserve"> after the 55</w:t>
      </w:r>
      <w:r>
        <w:rPr>
          <w:vertAlign w:val="superscript"/>
        </w:rPr>
        <w:t>th</w:t>
      </w:r>
      <w:r>
        <w:rPr/>
        <w:t xml:space="preserve"> calendar day of the quarter (WI) as well as Incomplete Grades (I).  It will require extenuating circumstances for </w:t>
      </w:r>
      <w:r>
        <w:rPr/>
        <w:t>your</w:t>
      </w:r>
      <w:r>
        <w:rPr/>
        <w:t xml:space="preserve"> </w:t>
      </w:r>
      <w:r>
        <w:rPr/>
        <w:t>instructor to</w:t>
      </w:r>
      <w:r>
        <w:rPr/>
        <w:t xml:space="preserve"> agree to these.) </w:t>
      </w:r>
    </w:p>
    <w:p>
      <w:pPr>
        <w:pStyle w:val="Normal"/>
      </w:pPr>
    </w:p>
    <w:p>
      <w:pPr>
        <w:pStyle w:val="Normal"/>
        <w:numPr>
          <w:ilvl w:val="0"/>
          <w:numId w:val="338965136"/>
        </w:numPr>
      </w:pPr>
      <w:r>
        <w:rPr>
          <w:b/>
          <w:u w:val="single"/>
        </w:rPr>
        <w:t xml:space="preserve">ASSIGNMENTS </w:t>
      </w:r>
      <w:r>
        <w:rPr/>
        <w:t xml:space="preserve">may be related to questions from the textbook or elsewhere, or may be related to </w:t>
      </w:r>
      <w:r>
        <w:rPr/>
        <w:t>I</w:t>
      </w:r>
      <w:r>
        <w:rPr/>
        <w:t xml:space="preserve">nternet research or reporting on assigned topics. Assignments </w:t>
      </w:r>
      <w:r>
        <w:rPr/>
        <w:t xml:space="preserve">will be due on assigned dates. Your grade on an assignment will be based on whether you have followed the assignment instructions, </w:t>
      </w:r>
      <w:r>
        <w:rPr/>
        <w:t xml:space="preserve">your effort put into the assignment, </w:t>
      </w:r>
      <w:r>
        <w:rPr/>
        <w:t>your understanding of the subject matter, and the degree to which you identify potential future benefits or risks with</w:t>
      </w:r>
      <w:r>
        <w:rPr/>
        <w:t xml:space="preserve"> the actions recommended in</w:t>
      </w:r>
      <w:r>
        <w:rPr/>
        <w:t xml:space="preserve"> case study</w:t>
      </w:r>
      <w:r>
        <w:rPr/>
        <w:t xml:space="preserve"> analysis.  </w:t>
      </w:r>
    </w:p>
    <w:p>
      <w:pPr>
        <w:pStyle w:val="List Paragraph"/>
      </w:pPr>
    </w:p>
    <w:p>
      <w:pPr>
        <w:pStyle w:val="Normal"/>
        <w:numPr>
          <w:ilvl w:val="0"/>
          <w:numId w:val="338965136"/>
        </w:numPr>
      </w:pPr>
      <w:r>
        <w:rPr>
          <w:b/>
        </w:rPr>
        <w:t>Please note that the syllabus is subject to change, so you are responsible for keeping current with the posted assignments</w:t>
      </w:r>
      <w:r>
        <w:rPr>
          <w:b/>
        </w:rPr>
        <w:t xml:space="preserve"> and announcements regarding any changes in the components of performance evaluation.</w:t>
      </w:r>
    </w:p>
    <w:p>
      <w:pPr>
        <w:pStyle w:val="Normal"/>
      </w:pPr>
    </w:p>
    <w:p>
      <w:pPr>
        <w:pStyle w:val="Normal"/>
      </w:pPr>
      <w:r>
        <w:rPr/>
        <w:t>When asked, I will provide you with feedback about your performance in the course.  Additionally, course grades will be updated</w:t>
      </w:r>
      <w:r>
        <w:rPr/>
        <w:t xml:space="preserve"> regularly on the course web site.  </w:t>
      </w:r>
    </w:p>
    <w:p>
      <w:pPr>
        <w:pStyle w:val="Normal"/>
      </w:pPr>
    </w:p>
    <w:p>
      <w:pPr>
        <w:pStyle w:val="Normal"/>
      </w:pPr>
      <w:r>
        <w:rPr>
          <w:b/>
          <w:i/>
          <w:u w:val="single"/>
        </w:rPr>
        <w:t xml:space="preserve">Your grade for the quarter will be based on the percentage of </w:t>
      </w:r>
      <w:r>
        <w:rPr>
          <w:b/>
          <w:i/>
          <w:u w:val="single"/>
        </w:rPr>
        <w:t xml:space="preserve">the total points you have earned based on </w:t>
      </w:r>
      <w:r>
        <w:rPr>
          <w:b/>
          <w:i/>
          <w:u w:val="single"/>
        </w:rPr>
        <w:t>the following scale:</w:t>
      </w:r>
    </w:p>
    <w:p>
      <w:pPr>
        <w:pStyle w:val="Normal"/>
      </w:pPr>
    </w:p>
    <w:p>
      <w:pPr>
        <w:pStyle w:val="Normal"/>
        <w:jc w:val="center"/>
      </w:pPr>
      <w:r>
        <w:rPr>
          <w:b/>
        </w:rPr>
        <w:t>GRADING SCALE</w:t>
      </w:r>
    </w:p>
    <w:p>
      <w:pPr>
        <w:pStyle w:val="Normal"/>
      </w:pPr>
    </w:p>
    <w:tbl>
      <w:tblGrid>
        <w:gridCol w:w="4428"/>
        <w:gridCol w:w="4428"/>
      </w:tblGrid>
      <w:tr>
        <w:tc>
          <w:tcPr>
            <w:tcBorders>
              <w:top w:val="single" w:sz="4" w:color="#000000"/>
              <w:bottom w:val="single" w:sz="4" w:color="#000000"/>
              <w:left w:val="single" w:sz="4" w:color="#000000"/>
              <w:right w:val="single" w:sz="4" w:color="#000000"/>
            </w:tcBorders>
            <w:vAlign w:val="top"/>
          </w:tcPr>
          <w:p>
            <w:pPr>
              <w:pStyle w:val="Normal"/>
            </w:pPr>
            <w:r>
              <w:rPr/>
              <w:t>94%  to  100%</w:t>
            </w:r>
          </w:p>
        </w:tc>
        <w:tc>
          <w:tcPr>
            <w:tcBorders>
              <w:top w:val="single" w:sz="4" w:color="#000000"/>
              <w:bottom w:val="single" w:sz="4" w:color="#000000"/>
              <w:left w:val="single" w:sz="4" w:color="#000000"/>
              <w:right w:val="single" w:sz="4" w:color="#000000"/>
            </w:tcBorders>
            <w:vAlign w:val="top"/>
          </w:tcPr>
          <w:p>
            <w:pPr>
              <w:pStyle w:val="Normal"/>
              <w:jc w:val="center"/>
            </w:pPr>
            <w:r>
              <w:rPr/>
              <w:t>A</w:t>
            </w:r>
          </w:p>
        </w:tc>
      </w:tr>
      <w:tr>
        <w:tc>
          <w:tcPr>
            <w:tcBorders>
              <w:top w:val="single" w:sz="4" w:color="#000000"/>
              <w:bottom w:val="single" w:sz="4" w:color="#000000"/>
              <w:left w:val="single" w:sz="4" w:color="#000000"/>
              <w:right w:val="single" w:sz="4" w:color="#000000"/>
            </w:tcBorders>
            <w:vAlign w:val="top"/>
          </w:tcPr>
          <w:p>
            <w:pPr>
              <w:pStyle w:val="Normal"/>
            </w:pPr>
            <w:r>
              <w:rPr/>
              <w:t>90     to   93.9</w:t>
            </w:r>
          </w:p>
        </w:tc>
        <w:tc>
          <w:tcPr>
            <w:tcBorders>
              <w:top w:val="single" w:sz="4" w:color="#000000"/>
              <w:bottom w:val="single" w:sz="4" w:color="#000000"/>
              <w:left w:val="single" w:sz="4" w:color="#000000"/>
              <w:right w:val="single" w:sz="4" w:color="#000000"/>
            </w:tcBorders>
            <w:vAlign w:val="top"/>
          </w:tcPr>
          <w:p>
            <w:pPr>
              <w:pStyle w:val="Normal"/>
              <w:jc w:val="center"/>
            </w:pPr>
            <w:r>
              <w:rPr/>
              <w:t>A-</w:t>
            </w:r>
          </w:p>
        </w:tc>
      </w:tr>
      <w:tr>
        <w:tc>
          <w:tcPr>
            <w:tcBorders>
              <w:top w:val="single" w:sz="4" w:color="#000000"/>
              <w:bottom w:val="single" w:sz="4" w:color="#000000"/>
              <w:left w:val="single" w:sz="4" w:color="#000000"/>
              <w:right w:val="single" w:sz="4" w:color="#000000"/>
            </w:tcBorders>
            <w:vAlign w:val="top"/>
          </w:tcPr>
          <w:p>
            <w:pPr>
              <w:pStyle w:val="Normal"/>
            </w:pPr>
            <w:r>
              <w:rPr/>
              <w:t>87     to   89.9</w:t>
            </w:r>
          </w:p>
        </w:tc>
        <w:tc>
          <w:tcPr>
            <w:tcBorders>
              <w:top w:val="single" w:sz="4" w:color="#000000"/>
              <w:bottom w:val="single" w:sz="4" w:color="#000000"/>
              <w:left w:val="single" w:sz="4" w:color="#000000"/>
              <w:right w:val="single" w:sz="4" w:color="#000000"/>
            </w:tcBorders>
            <w:vAlign w:val="top"/>
          </w:tcPr>
          <w:p>
            <w:pPr>
              <w:pStyle w:val="Normal"/>
              <w:jc w:val="center"/>
            </w:pPr>
            <w:r>
              <w:rPr/>
              <w:t>B+</w:t>
            </w:r>
          </w:p>
        </w:tc>
      </w:tr>
      <w:tr>
        <w:tc>
          <w:tcPr>
            <w:tcBorders>
              <w:top w:val="single" w:sz="4" w:color="#000000"/>
              <w:bottom w:val="single" w:sz="4" w:color="#000000"/>
              <w:left w:val="single" w:sz="4" w:color="#000000"/>
              <w:right w:val="single" w:sz="4" w:color="#000000"/>
            </w:tcBorders>
            <w:vAlign w:val="top"/>
          </w:tcPr>
          <w:p>
            <w:pPr>
              <w:pStyle w:val="Normal"/>
            </w:pPr>
            <w:r>
              <w:rPr/>
              <w:t>83     to   86.9</w:t>
            </w:r>
          </w:p>
        </w:tc>
        <w:tc>
          <w:tcPr>
            <w:tcBorders>
              <w:top w:val="single" w:sz="4" w:color="#000000"/>
              <w:bottom w:val="single" w:sz="4" w:color="#000000"/>
              <w:left w:val="single" w:sz="4" w:color="#000000"/>
              <w:right w:val="single" w:sz="4" w:color="#000000"/>
            </w:tcBorders>
            <w:vAlign w:val="top"/>
          </w:tcPr>
          <w:p>
            <w:pPr>
              <w:pStyle w:val="Normal"/>
              <w:jc w:val="center"/>
            </w:pPr>
            <w:r>
              <w:rPr/>
              <w:t>B</w:t>
            </w:r>
          </w:p>
        </w:tc>
      </w:tr>
      <w:tr>
        <w:tc>
          <w:tcPr>
            <w:tcBorders>
              <w:top w:val="single" w:sz="4" w:color="#000000"/>
              <w:bottom w:val="single" w:sz="4" w:color="#000000"/>
              <w:left w:val="single" w:sz="4" w:color="#000000"/>
              <w:right w:val="single" w:sz="4" w:color="#000000"/>
            </w:tcBorders>
            <w:vAlign w:val="top"/>
          </w:tcPr>
          <w:p>
            <w:pPr>
              <w:pStyle w:val="Normal"/>
            </w:pPr>
            <w:r>
              <w:rPr/>
              <w:t>80     to   82.9</w:t>
            </w:r>
          </w:p>
        </w:tc>
        <w:tc>
          <w:tcPr>
            <w:tcBorders>
              <w:top w:val="single" w:sz="4" w:color="#000000"/>
              <w:bottom w:val="single" w:sz="4" w:color="#000000"/>
              <w:left w:val="single" w:sz="4" w:color="#000000"/>
              <w:right w:val="single" w:sz="4" w:color="#000000"/>
            </w:tcBorders>
            <w:vAlign w:val="top"/>
          </w:tcPr>
          <w:p>
            <w:pPr>
              <w:pStyle w:val="Normal"/>
              <w:jc w:val="center"/>
            </w:pPr>
            <w:r>
              <w:rPr/>
              <w:t>B-</w:t>
            </w:r>
          </w:p>
        </w:tc>
      </w:tr>
      <w:tr>
        <w:tc>
          <w:tcPr>
            <w:tcBorders>
              <w:top w:val="single" w:sz="4" w:color="#000000"/>
              <w:bottom w:val="single" w:sz="4" w:color="#000000"/>
              <w:left w:val="single" w:sz="4" w:color="#000000"/>
              <w:right w:val="single" w:sz="4" w:color="#000000"/>
            </w:tcBorders>
            <w:vAlign w:val="top"/>
          </w:tcPr>
          <w:p>
            <w:pPr>
              <w:pStyle w:val="Normal"/>
            </w:pPr>
            <w:r>
              <w:rPr/>
              <w:t>77     to   79.9</w:t>
            </w:r>
          </w:p>
        </w:tc>
        <w:tc>
          <w:tcPr>
            <w:tcBorders>
              <w:top w:val="single" w:sz="4" w:color="#000000"/>
              <w:bottom w:val="single" w:sz="4" w:color="#000000"/>
              <w:left w:val="single" w:sz="4" w:color="#000000"/>
              <w:right w:val="single" w:sz="4" w:color="#000000"/>
            </w:tcBorders>
            <w:vAlign w:val="top"/>
          </w:tcPr>
          <w:p>
            <w:pPr>
              <w:pStyle w:val="Normal"/>
              <w:jc w:val="center"/>
            </w:pPr>
            <w:r>
              <w:rPr/>
              <w:t>C+</w:t>
            </w:r>
          </w:p>
        </w:tc>
      </w:tr>
      <w:tr>
        <w:tc>
          <w:tcPr>
            <w:tcBorders>
              <w:top w:val="single" w:sz="4" w:color="#000000"/>
              <w:bottom w:val="single" w:sz="4" w:color="#000000"/>
              <w:left w:val="single" w:sz="4" w:color="#000000"/>
              <w:right w:val="single" w:sz="4" w:color="#000000"/>
            </w:tcBorders>
            <w:vAlign w:val="top"/>
          </w:tcPr>
          <w:p>
            <w:pPr>
              <w:pStyle w:val="Normal"/>
            </w:pPr>
            <w:r>
              <w:rPr/>
              <w:t>73     to   76.9</w:t>
            </w:r>
          </w:p>
        </w:tc>
        <w:tc>
          <w:tcPr>
            <w:tcBorders>
              <w:top w:val="single" w:sz="4" w:color="#000000"/>
              <w:bottom w:val="single" w:sz="4" w:color="#000000"/>
              <w:left w:val="single" w:sz="4" w:color="#000000"/>
              <w:right w:val="single" w:sz="4" w:color="#000000"/>
            </w:tcBorders>
            <w:vAlign w:val="top"/>
          </w:tcPr>
          <w:p>
            <w:pPr>
              <w:pStyle w:val="Normal"/>
              <w:jc w:val="center"/>
            </w:pPr>
            <w:r>
              <w:rPr/>
              <w:t>C</w:t>
            </w:r>
          </w:p>
        </w:tc>
      </w:tr>
      <w:tr>
        <w:tc>
          <w:tcPr>
            <w:tcBorders>
              <w:top w:val="single" w:sz="4" w:color="#000000"/>
              <w:bottom w:val="single" w:sz="4" w:color="#000000"/>
              <w:left w:val="single" w:sz="4" w:color="#000000"/>
              <w:right w:val="single" w:sz="4" w:color="#000000"/>
            </w:tcBorders>
            <w:vAlign w:val="top"/>
          </w:tcPr>
          <w:p>
            <w:pPr>
              <w:pStyle w:val="Normal"/>
            </w:pPr>
            <w:r>
              <w:rPr/>
              <w:t>70     to   72.9</w:t>
            </w:r>
          </w:p>
        </w:tc>
        <w:tc>
          <w:tcPr>
            <w:tcBorders>
              <w:top w:val="single" w:sz="4" w:color="#000000"/>
              <w:bottom w:val="single" w:sz="4" w:color="#000000"/>
              <w:left w:val="single" w:sz="4" w:color="#000000"/>
              <w:right w:val="single" w:sz="4" w:color="#000000"/>
            </w:tcBorders>
            <w:vAlign w:val="top"/>
          </w:tcPr>
          <w:p>
            <w:pPr>
              <w:pStyle w:val="Normal"/>
              <w:jc w:val="center"/>
            </w:pPr>
            <w:r>
              <w:rPr/>
              <w:t>C-</w:t>
            </w:r>
          </w:p>
        </w:tc>
      </w:tr>
      <w:tr>
        <w:tc>
          <w:tcPr>
            <w:tcBorders>
              <w:top w:val="single" w:sz="4" w:color="#000000"/>
              <w:bottom w:val="single" w:sz="4" w:color="#000000"/>
              <w:left w:val="single" w:sz="4" w:color="#000000"/>
              <w:right w:val="single" w:sz="4" w:color="#000000"/>
            </w:tcBorders>
            <w:vAlign w:val="top"/>
          </w:tcPr>
          <w:p>
            <w:pPr>
              <w:pStyle w:val="Normal"/>
            </w:pPr>
            <w:r>
              <w:rPr/>
              <w:t>67     to   69.9</w:t>
            </w:r>
          </w:p>
        </w:tc>
        <w:tc>
          <w:tcPr>
            <w:tcBorders>
              <w:top w:val="single" w:sz="4" w:color="#000000"/>
              <w:bottom w:val="single" w:sz="4" w:color="#000000"/>
              <w:left w:val="single" w:sz="4" w:color="#000000"/>
              <w:right w:val="single" w:sz="4" w:color="#000000"/>
            </w:tcBorders>
            <w:vAlign w:val="top"/>
          </w:tcPr>
          <w:p>
            <w:pPr>
              <w:pStyle w:val="Normal"/>
              <w:jc w:val="center"/>
            </w:pPr>
            <w:r>
              <w:rPr/>
              <w:t>D+</w:t>
            </w:r>
          </w:p>
        </w:tc>
      </w:tr>
      <w:tr>
        <w:tc>
          <w:tcPr>
            <w:tcBorders>
              <w:top w:val="single" w:sz="4" w:color="#000000"/>
              <w:bottom w:val="single" w:sz="4" w:color="#000000"/>
              <w:left w:val="single" w:sz="4" w:color="#000000"/>
              <w:right w:val="single" w:sz="4" w:color="#000000"/>
            </w:tcBorders>
            <w:vAlign w:val="top"/>
          </w:tcPr>
          <w:p>
            <w:pPr>
              <w:pStyle w:val="Normal"/>
            </w:pPr>
            <w:r>
              <w:rPr/>
              <w:t>63     to   66.9</w:t>
            </w:r>
          </w:p>
        </w:tc>
        <w:tc>
          <w:tcPr>
            <w:tcBorders>
              <w:top w:val="single" w:sz="4" w:color="#000000"/>
              <w:bottom w:val="single" w:sz="4" w:color="#000000"/>
              <w:left w:val="single" w:sz="4" w:color="#000000"/>
              <w:right w:val="single" w:sz="4" w:color="#000000"/>
            </w:tcBorders>
            <w:vAlign w:val="top"/>
          </w:tcPr>
          <w:p>
            <w:pPr>
              <w:pStyle w:val="Normal"/>
              <w:jc w:val="center"/>
            </w:pPr>
            <w:r>
              <w:rPr/>
              <w:t>D</w:t>
            </w:r>
          </w:p>
        </w:tc>
      </w:tr>
      <w:tr>
        <w:tc>
          <w:tcPr>
            <w:tcBorders>
              <w:top w:val="single" w:sz="4" w:color="#000000"/>
              <w:bottom w:val="single" w:sz="4" w:color="#000000"/>
              <w:left w:val="single" w:sz="4" w:color="#000000"/>
              <w:right w:val="single" w:sz="4" w:color="#000000"/>
            </w:tcBorders>
            <w:vAlign w:val="top"/>
          </w:tcPr>
          <w:p>
            <w:pPr>
              <w:pStyle w:val="Normal"/>
            </w:pPr>
            <w:r>
              <w:rPr/>
              <w:t>60     to   62.9</w:t>
            </w:r>
          </w:p>
        </w:tc>
        <w:tc>
          <w:tcPr>
            <w:tcBorders>
              <w:top w:val="single" w:sz="4" w:color="#000000"/>
              <w:bottom w:val="single" w:sz="4" w:color="#000000"/>
              <w:left w:val="single" w:sz="4" w:color="#000000"/>
              <w:right w:val="single" w:sz="4" w:color="#000000"/>
            </w:tcBorders>
            <w:vAlign w:val="top"/>
          </w:tcPr>
          <w:p>
            <w:pPr>
              <w:pStyle w:val="Normal"/>
              <w:jc w:val="center"/>
            </w:pPr>
            <w:r>
              <w:rPr/>
              <w:t>D-</w:t>
            </w:r>
          </w:p>
        </w:tc>
      </w:tr>
      <w:tr>
        <w:tc>
          <w:tcPr>
            <w:tcBorders>
              <w:top w:val="single" w:sz="4" w:color="#000000"/>
              <w:bottom w:val="single" w:sz="4" w:color="#000000"/>
              <w:left w:val="single" w:sz="4" w:color="#000000"/>
              <w:right w:val="single" w:sz="4" w:color="#000000"/>
            </w:tcBorders>
            <w:vAlign w:val="top"/>
          </w:tcPr>
          <w:p>
            <w:pPr>
              <w:pStyle w:val="Normal"/>
            </w:pPr>
            <w:r>
              <w:rPr/>
              <w:t>Less than 59.9%</w:t>
            </w:r>
          </w:p>
        </w:tc>
        <w:tc>
          <w:tcPr>
            <w:tcBorders>
              <w:top w:val="single" w:sz="4" w:color="#000000"/>
              <w:bottom w:val="single" w:sz="4" w:color="#000000"/>
              <w:left w:val="single" w:sz="4" w:color="#000000"/>
              <w:right w:val="single" w:sz="4" w:color="#000000"/>
            </w:tcBorders>
            <w:vAlign w:val="top"/>
          </w:tcPr>
          <w:p>
            <w:pPr>
              <w:pStyle w:val="Normal"/>
              <w:jc w:val="center"/>
            </w:pPr>
            <w:r>
              <w:rPr/>
              <w:t>E</w:t>
            </w:r>
          </w:p>
        </w:tc>
      </w:tr>
    </w:tbl>
    <w:p>
      <w:pPr>
        <w:pStyle w:val="Normal"/>
      </w:pPr>
    </w:p>
    <w:p>
      <w:pPr>
        <w:pStyle w:val="Normal"/>
      </w:pPr>
    </w:p>
    <w:p>
      <w:pPr>
        <w:pStyle w:val="Normal"/>
      </w:pPr>
      <w:r>
        <w:rPr>
          <w:b/>
          <w:u w:val="single"/>
          <w:sz w:val="28"/>
        </w:rPr>
        <w:t>Class Policies:</w:t>
      </w:r>
    </w:p>
    <w:p>
      <w:pPr>
        <w:pStyle w:val="Normal"/>
      </w:pPr>
    </w:p>
    <w:p>
      <w:pPr>
        <w:pStyle w:val="Normal"/>
      </w:pPr>
      <w:r>
        <w:rPr>
          <w:b/>
          <w:sz w:val="28"/>
        </w:rPr>
        <w:t xml:space="preserve">          Listening to the lectures is a requirement.</w:t>
      </w:r>
    </w:p>
    <w:p>
      <w:pPr>
        <w:pStyle w:val="Normal"/>
      </w:pPr>
    </w:p>
    <w:p>
      <w:pPr>
        <w:pStyle w:val="Normal"/>
        <w:ind w:left="720"/>
      </w:pPr>
      <w:r>
        <w:rPr>
          <w:b/>
          <w:u w:val="single"/>
        </w:rPr>
        <w:t>Academic Dishonesty:</w:t>
      </w:r>
      <w:r>
        <w:rPr>
          <w:b/>
        </w:rPr>
        <w:t xml:space="preserve">  </w:t>
      </w:r>
      <w:r>
        <w:rPr/>
        <w:t>“As stated in the TCC Catalog, ‘Students are expected to be honest and forthright in their academic endeavors. Cheating, plagiarism, fabrication or other forms of academic dishonesty corrupt the learning process and threaten the educational environment for all students” (pg. 33).</w:t>
      </w:r>
    </w:p>
    <w:p>
      <w:pPr>
        <w:pStyle w:val="Normal"/>
        <w:ind w:left="720"/>
      </w:pPr>
    </w:p>
    <w:p>
      <w:pPr>
        <w:pStyle w:val="Normal"/>
        <w:ind w:left="720"/>
      </w:pPr>
      <w:r>
        <w:rPr/>
        <w:t xml:space="preserve">IN THIS COURSE, SACTIONS FOR ACADEMIC DISHONESTY WILL BE THAT THIS ACTION WILL BE SUFFICIENT GROUNDS FOR EARNING A GRADE OF “E” IN THE </w:t>
      </w:r>
      <w:r>
        <w:rPr/>
        <w:t>COURSE.</w:t>
      </w:r>
    </w:p>
    <w:p>
      <w:pPr>
        <w:pStyle w:val="Normal"/>
        <w:ind w:left="720"/>
      </w:pPr>
    </w:p>
    <w:p>
      <w:pPr>
        <w:pStyle w:val="Normal"/>
        <w:ind w:left="720"/>
      </w:pPr>
      <w:r>
        <w:rPr/>
        <w:t>The complete Administrative Procedure for Academic Dishonesty is available on the TCC website at:</w:t>
      </w:r>
      <w:r>
        <w:rPr>
          <w:rFonts w:ascii="Arial" w:hAnsi="Arial"/>
        </w:rPr>
        <w:t xml:space="preserve"> </w:t>
      </w:r>
      <w:hyperlink r:id="rId3">
        <w:r>
          <w:rPr>
            <w:rStyle w:val="Hyperlink"/>
            <w:rFonts w:ascii="Arial" w:hAnsi="Arial"/>
          </w:rPr>
          <w:t>http://www.tacomacc.edu/resourcesforstudents/studentpolicies/administrativeprocedureforacademicdishonesty.aspx</w:t>
        </w:r>
      </w:hyperlink>
    </w:p>
    <w:p>
      <w:pPr>
        <w:pStyle w:val="Normal"/>
        <w:ind w:left="720"/>
      </w:pPr>
    </w:p>
    <w:p>
      <w:pPr>
        <w:pStyle w:val="Normal"/>
        <w:numPr>
          <w:ilvl w:val="0"/>
          <w:numId w:val="1313754309"/>
        </w:numPr>
      </w:pPr>
      <w:r>
        <w:rPr/>
        <w:t xml:space="preserve">Academic dishonesty includes (1) </w:t>
      </w:r>
      <w:r>
        <w:rPr/>
        <w:t>C</w:t>
      </w:r>
      <w:r>
        <w:rPr/>
        <w:t xml:space="preserve">heating, (2) Plagiarism, (3) </w:t>
      </w:r>
      <w:r>
        <w:rPr/>
        <w:t>F</w:t>
      </w:r>
      <w:r>
        <w:rPr/>
        <w:t xml:space="preserve">abrication, and (4) </w:t>
      </w:r>
      <w:r>
        <w:rPr/>
        <w:t>A</w:t>
      </w:r>
      <w:r>
        <w:rPr/>
        <w:t xml:space="preserve">cademic </w:t>
      </w:r>
      <w:r>
        <w:rPr/>
        <w:t>M</w:t>
      </w:r>
      <w:r>
        <w:rPr/>
        <w:t>isconduct.  Cheating is an act of dishonesty by which the student misrepresents</w:t>
      </w:r>
      <w:r>
        <w:rPr/>
        <w:t xml:space="preserve"> that he or she has mastered information on an academic exercise that in fact has not been mastered.  Plagiarism is the inclusion of someone else’s words, ideas, or data as one’s own work without acknowledgement.  Fabrication is the intentional use of invented information or the falsification of research or other findings with the intent to deceive.  Academic misconduct is the intentional violation of a college policy.  </w:t>
      </w:r>
    </w:p>
    <w:p>
      <w:pPr>
        <w:pStyle w:val="Normal"/>
      </w:pPr>
    </w:p>
    <w:p>
      <w:pPr>
        <w:pStyle w:val="Normal"/>
        <w:numPr>
          <w:ilvl w:val="0"/>
          <w:numId w:val="1313754309"/>
        </w:numPr>
      </w:pPr>
      <w:r>
        <w:rPr>
          <w:b/>
          <w:u w:val="single"/>
        </w:rPr>
        <w:t>Software Licenses</w:t>
      </w:r>
      <w:r>
        <w:rPr>
          <w:b/>
          <w:u w:val="single"/>
        </w:rPr>
        <w:t>:</w:t>
      </w:r>
      <w:r>
        <w:rPr/>
        <w:t xml:space="preserve"> It is TCC’s policy to respect the copyright protections given by law to software owners.  Persons shall not copy or reproduce any licensed software on College computing equipment.  In addition, persons may not used unauthorized copies of software on college owned computers or on computers housed in College facilities.  VIOLATION OF THIS POLICY WILL RESULT IN THE DENIED USE OF COLLEGE FACILITIES, A GRADE OF “E” IN THE COURSE AND OTHER DISCIPLINARY ACTIONS.</w:t>
      </w:r>
    </w:p>
    <w:p>
      <w:pPr>
        <w:pStyle w:val="List Paragraph"/>
      </w:pPr>
    </w:p>
    <w:p>
      <w:pPr>
        <w:pStyle w:val="Normal"/>
        <w:numPr>
          <w:ilvl w:val="0"/>
          <w:numId w:val="1313754309"/>
        </w:numPr>
      </w:pPr>
      <w:r>
        <w:rPr>
          <w:b/>
          <w:u w:val="single"/>
        </w:rPr>
        <w:t>Accommodations for disabilities/</w:t>
      </w:r>
      <w:r>
        <w:rPr>
          <w:b/>
          <w:u w:val="single"/>
        </w:rPr>
        <w:t xml:space="preserve">Students </w:t>
      </w:r>
      <w:r>
        <w:rPr>
          <w:b/>
          <w:u w:val="single"/>
        </w:rPr>
        <w:t>with Special Needs:</w:t>
      </w:r>
      <w:r>
        <w:rPr>
          <w:rStyle w:val="Emphasis"/>
          <w:i/>
        </w:rPr>
        <w:t xml:space="preserve">  Students are responsible for all requirements of the class, but the way they meet these requirements may vary.  If you need specific auxiliary aids or services due to a disability, please contact the Access Services office in Building </w:t>
      </w:r>
      <w:r>
        <w:rPr>
          <w:rStyle w:val="Emphasis"/>
          <w:i/>
        </w:rPr>
        <w:t>7</w:t>
      </w:r>
      <w:r>
        <w:rPr>
          <w:rStyle w:val="Emphasis"/>
          <w:i/>
        </w:rPr>
        <w:t xml:space="preserve"> (253-566-5328).  They will require you to present formal, written documentation of your disability from an appropriate professional.  When this step has been completed, arrangements will be made for you to receive reasonable auxiliary aids or services.  The disability accommodation documentation </w:t>
      </w:r>
      <w:r>
        <w:rPr>
          <w:rStyle w:val="Emphasis"/>
          <w:i/>
        </w:rPr>
        <w:t>prepared by Access Services</w:t>
      </w:r>
      <w:r>
        <w:rPr>
          <w:rStyle w:val="Emphasis"/>
          <w:i/>
        </w:rPr>
        <w:t xml:space="preserve"> must be given to me before the accommodation is needed so that appropriate arrangements can be made.</w:t>
      </w:r>
    </w:p>
    <w:p>
      <w:pPr>
        <w:pStyle w:val="Normal"/>
      </w:pPr>
    </w:p>
    <w:p>
      <w:pPr>
        <w:pStyle w:val="Normal"/>
      </w:pPr>
    </w:p>
    <w:p>
      <w:pPr>
        <w:pStyle w:val="Normal"/>
        <w:numPr>
          <w:ilvl w:val="0"/>
          <w:numId w:val="1313754309"/>
        </w:numPr>
      </w:pPr>
      <w:r>
        <w:rPr>
          <w:b/>
          <w:u w:val="single"/>
        </w:rPr>
        <w:t>Challenges to Your Success:</w:t>
      </w:r>
      <w:r>
        <w:rPr>
          <w:b/>
        </w:rPr>
        <w:t xml:space="preserve"> </w:t>
      </w:r>
      <w:r>
        <w:rPr/>
        <w:t xml:space="preserve"> If you are specially challenged to meet your learning objectives, please arrange to see me to discuss what the college and I can reasonably do to help you meet your goals.  It is best to have the discussion early in the quarter.</w:t>
      </w:r>
    </w:p>
    <w:p>
      <w:pPr>
        <w:pStyle w:val="Normal"/>
      </w:pPr>
    </w:p>
    <w:p>
      <w:pPr>
        <w:pStyle w:val="Normal"/>
        <w:numPr>
          <w:ilvl w:val="0"/>
          <w:numId w:val="1313754309"/>
        </w:numPr>
      </w:pPr>
      <w:r>
        <w:rPr>
          <w:b/>
          <w:u w:val="single"/>
        </w:rPr>
        <w:t>Approved Excuse:</w:t>
      </w:r>
      <w:r>
        <w:rPr/>
        <w:t xml:space="preserve">  An approved excuse is defined</w:t>
      </w:r>
      <w:r>
        <w:rPr/>
        <w:t xml:space="preserve"> as an excuse pre-approved by your instructor or a death in your immediate family or a severe illness to yourself or a member of your immediate family.  In the cases of a death or a severe illness, a written verification by a third party may be required upon your return to class.  Severe illness to a member of your immediate family will not qualify if the illness is extended and other care can be planned.  </w:t>
      </w:r>
    </w:p>
    <w:p>
      <w:pPr>
        <w:pStyle w:val="Normal"/>
      </w:pPr>
    </w:p>
    <w:p>
      <w:pPr>
        <w:pStyle w:val="Normal"/>
        <w:numPr>
          <w:ilvl w:val="0"/>
          <w:numId w:val="1313754309"/>
        </w:numPr>
      </w:pPr>
      <w:r>
        <w:rPr>
          <w:b/>
          <w:u w:val="single"/>
        </w:rPr>
        <w:t>Extra Credit:</w:t>
      </w:r>
      <w:r>
        <w:rPr/>
        <w:t xml:space="preserve">  There is no opportunity to </w:t>
      </w:r>
      <w:r>
        <w:rPr/>
        <w:t xml:space="preserve">individual </w:t>
      </w:r>
      <w:r>
        <w:rPr/>
        <w:t xml:space="preserve">earn extra credit. </w:t>
      </w:r>
      <w:r>
        <w:rPr/>
        <w:t xml:space="preserve"> Your grade will be based on the total points earned by you from assignments and exams.</w:t>
      </w:r>
    </w:p>
    <w:p>
      <w:pPr>
        <w:pStyle w:val="Normal"/>
      </w:pPr>
    </w:p>
    <w:p>
      <w:pPr>
        <w:pStyle w:val="Normal"/>
        <w:numPr>
          <w:ilvl w:val="0"/>
          <w:numId w:val="1313754309"/>
        </w:numPr>
      </w:pPr>
      <w:r>
        <w:rPr>
          <w:b/>
          <w:u w:val="single"/>
        </w:rPr>
        <w:t>Class Outline and Schedule</w:t>
      </w:r>
      <w:r>
        <w:rPr>
          <w:b/>
          <w:u w:val="single"/>
        </w:rPr>
        <w:t>:</w:t>
      </w:r>
      <w:r>
        <w:rPr>
          <w:b/>
        </w:rPr>
        <w:t xml:space="preserve"> </w:t>
      </w:r>
      <w:r>
        <w:rPr/>
        <w:t xml:space="preserve">An initial outline will be provided during the first week of the quarter.  This outline is general and is meant to show the sequence of the course topics and the approximate important dates.  More specific course information can be found </w:t>
      </w:r>
      <w:r>
        <w:rPr/>
        <w:t xml:space="preserve">on the Angel site </w:t>
      </w:r>
      <w:r>
        <w:rPr/>
        <w:t>for LOG1</w:t>
      </w:r>
      <w:r>
        <w:rPr/>
        <w:t>1</w:t>
      </w:r>
      <w:r>
        <w:rPr/>
        <w:t>0.</w:t>
      </w:r>
    </w:p>
    <w:p>
      <w:pPr>
        <w:pStyle w:val="List Paragraph"/>
      </w:pPr>
    </w:p>
    <w:p>
      <w:pPr>
        <w:pStyle w:val="Normal"/>
        <w:numPr>
          <w:ilvl w:val="0"/>
          <w:numId w:val="1313754309"/>
        </w:numPr>
      </w:pPr>
      <w:r>
        <w:rPr/>
        <w:t xml:space="preserve">If you have </w:t>
      </w:r>
      <w:r>
        <w:rPr>
          <w:b/>
          <w:u w:val="single"/>
        </w:rPr>
        <w:t xml:space="preserve">questions or concerns </w:t>
      </w:r>
      <w:r>
        <w:rPr/>
        <w:t xml:space="preserve">about this class or me, please communicate with me about your concerns.  If we are unable to resolve your concerns, you may talk next with the Chair of the </w:t>
      </w:r>
      <w:r>
        <w:rPr/>
        <w:t>Logistics</w:t>
      </w:r>
      <w:r>
        <w:rPr/>
        <w:t xml:space="preserve"> P</w:t>
      </w:r>
      <w:r>
        <w:rPr/>
        <w:t>rogram, Erika Bowles, Building 16</w:t>
      </w:r>
      <w:r>
        <w:rPr/>
        <w:t xml:space="preserve">, (253) 566-5253.  The Chair can assist with information about additional steps, if needed.  </w:t>
      </w:r>
    </w:p>
    <w:p>
      <w:pPr>
        <w:pStyle w:val="Normal"/>
      </w:pPr>
    </w:p>
    <w:p>
      <w:pPr>
        <w:pStyle w:val="Normal"/>
      </w:pPr>
      <w:r>
        <w:rPr/>
        <w:t xml:space="preserve">This is a very interesting course which covers much practical matter related to international trade.  </w:t>
      </w:r>
      <w:r>
        <w:rPr/>
        <w:t>I look forward to your participation in this class.</w:t>
      </w:r>
      <w:r>
        <w:rPr/>
        <w:t xml:space="preserve">  </w:t>
      </w:r>
    </w:p>
    <w:p>
      <w:pPr>
        <w:pStyle w:val="Normal"/>
      </w:pPr>
    </w:p>
    <w:sectPr>
      <w:pgSz w:w="12240" w:h="15840"/>
      <w:pgMar w:left="1800" w:right="1800" w:top="1440" w:bottom="1440"/>
    </w:sectPr>
  </w:body>
</w:document>
</file>

<file path=word/fontTable.xml><?xml version="1.0" encoding="utf-8"?>
<w:fo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mc:Ignorable="w14 wp14">
  <w:font w:name="Times New Roman"/>
  <w:font w:name="Symbol"/>
  <w:font w:name="Arial"/>
  <w:font w:name="Verdana"/>
  <w:font w:name="Courier New"/>
  <w:font w:name="Wingdings"/>
  <w:font w:name="Cambria Math"/>
  <w:font w:name="Calibri"/>
  <w:font w:name="Cambria"/>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38965136">
    <w:multiLevelType w:val="hybridMultilevel"/>
    <w:lvl w:ilvl="0">
      <w:numFmt w:val="bullet"/>
      <w:lvlText w:val=""/>
      <w:start w:val="0"/>
      <w:lvlJc w:val="left"/>
      <w:pPr>
        <w:ind w:left="720"/>
        <w:ind w:hanging="360"/>
      </w:pPr>
      <w:rPr>
        <w:rFonts w:ascii="Symbol" w:hAnsi="Symbol"/>
      </w:rPr>
    </w:lvl>
    <w:lvl w:ilvl="1">
      <w:numFmt w:val="bullet"/>
      <w:lvlText w:val="o"/>
      <w:start w:val="0"/>
      <w:lvlJc w:val="left"/>
      <w:pPr>
        <w:ind w:left="1440"/>
        <w:ind w:hanging="360"/>
      </w:pPr>
      <w:rPr>
        <w:rFonts w:ascii="Courier New" w:hAnsi="Courier New"/>
      </w:rPr>
    </w:lvl>
    <w:lvl w:ilvl="2">
      <w:numFmt w:val="bullet"/>
      <w:lvlText w:val=""/>
      <w:start w:val="0"/>
      <w:lvlJc w:val="left"/>
      <w:pPr>
        <w:ind w:left="2160"/>
        <w:ind w:hanging="360"/>
      </w:pPr>
      <w:rPr>
        <w:rFonts w:ascii="Wingdings" w:hAnsi="Wingdings"/>
      </w:rPr>
    </w:lvl>
    <w:lvl w:ilvl="3">
      <w:numFmt w:val="bullet"/>
      <w:lvlText w:val=""/>
      <w:start w:val="0"/>
      <w:lvlJc w:val="left"/>
      <w:pPr>
        <w:ind w:left="2880"/>
        <w:ind w:hanging="360"/>
      </w:pPr>
      <w:rPr>
        <w:rFonts w:ascii="Symbol" w:hAnsi="Symbol"/>
      </w:rPr>
    </w:lvl>
    <w:lvl w:ilvl="4">
      <w:numFmt w:val="bullet"/>
      <w:lvlText w:val="o"/>
      <w:start w:val="0"/>
      <w:lvlJc w:val="left"/>
      <w:pPr>
        <w:ind w:left="3600"/>
        <w:ind w:hanging="360"/>
      </w:pPr>
      <w:rPr>
        <w:rFonts w:ascii="Courier New" w:hAnsi="Courier New"/>
      </w:rPr>
    </w:lvl>
    <w:lvl w:ilvl="5">
      <w:numFmt w:val="bullet"/>
      <w:lvlText w:val=""/>
      <w:start w:val="0"/>
      <w:lvlJc w:val="left"/>
      <w:pPr>
        <w:ind w:left="4320"/>
        <w:ind w:hanging="360"/>
      </w:pPr>
      <w:rPr>
        <w:rFonts w:ascii="Wingdings" w:hAnsi="Wingdings"/>
      </w:rPr>
    </w:lvl>
    <w:lvl w:ilvl="6">
      <w:numFmt w:val="bullet"/>
      <w:lvlText w:val=""/>
      <w:start w:val="0"/>
      <w:lvlJc w:val="left"/>
      <w:pPr>
        <w:ind w:left="5040"/>
        <w:ind w:hanging="360"/>
      </w:pPr>
      <w:rPr>
        <w:rFonts w:ascii="Symbol" w:hAnsi="Symbol"/>
      </w:rPr>
    </w:lvl>
    <w:lvl w:ilvl="7">
      <w:numFmt w:val="bullet"/>
      <w:lvlText w:val="o"/>
      <w:start w:val="0"/>
      <w:lvlJc w:val="left"/>
      <w:pPr>
        <w:ind w:left="5760"/>
        <w:ind w:hanging="360"/>
      </w:pPr>
      <w:rPr>
        <w:rFonts w:ascii="Courier New" w:hAnsi="Courier New"/>
      </w:rPr>
    </w:lvl>
    <w:lvl w:ilvl="8">
      <w:numFmt w:val="bullet"/>
      <w:lvlText w:val=""/>
      <w:start w:val="0"/>
      <w:lvlJc w:val="left"/>
      <w:pPr>
        <w:ind w:left="6480"/>
        <w:ind w:hanging="360"/>
      </w:pPr>
      <w:rPr>
        <w:rFonts w:ascii="Wingdings" w:hAnsi="Wingdings"/>
      </w:rPr>
    </w:lvl>
  </w:abstractNum>
  <w:abstractNum w:abstractNumId="340620365">
    <w:multiLevelType w:val="hybridMultilevel"/>
    <w:lvl w:ilvl="0">
      <w:numFmt w:val="decimal"/>
      <w:lvlText w:val="%1."/>
      <w:start w:val="1"/>
      <w:lvlJc w:val="left"/>
      <w:pPr>
        <w:ind w:left="720"/>
        <w:ind w:hanging="360"/>
      </w:pPr>
      <w:rPr/>
    </w:lvl>
    <w:lvl w:ilvl="1">
      <w:numFmt w:val="lowerLetter"/>
      <w:lvlText w:val="%2."/>
      <w:start w:val="1"/>
      <w:lvlJc w:val="left"/>
      <w:pPr>
        <w:ind w:left="1440"/>
        <w:ind w:hanging="360"/>
      </w:pPr>
      <w:rPr/>
    </w:lvl>
    <w:lvl w:ilvl="2">
      <w:numFmt w:val="lowerRoman"/>
      <w:lvlText w:val="%3."/>
      <w:start w:val="1"/>
      <w:lvlJc w:val="right"/>
      <w:pPr>
        <w:ind w:left="2160"/>
        <w:ind w:hanging="180"/>
      </w:pPr>
      <w:rPr/>
    </w:lvl>
    <w:lvl w:ilvl="3">
      <w:numFmt w:val="decimal"/>
      <w:lvlText w:val="%4."/>
      <w:start w:val="1"/>
      <w:lvlJc w:val="left"/>
      <w:pPr>
        <w:ind w:left="2880"/>
        <w:ind w:hanging="360"/>
      </w:pPr>
      <w:rPr/>
    </w:lvl>
    <w:lvl w:ilvl="4">
      <w:numFmt w:val="lowerLetter"/>
      <w:lvlText w:val="%5."/>
      <w:start w:val="1"/>
      <w:lvlJc w:val="left"/>
      <w:pPr>
        <w:ind w:left="3600"/>
        <w:ind w:hanging="360"/>
      </w:pPr>
      <w:rPr/>
    </w:lvl>
    <w:lvl w:ilvl="5">
      <w:numFmt w:val="lowerRoman"/>
      <w:lvlText w:val="%6."/>
      <w:start w:val="1"/>
      <w:lvlJc w:val="right"/>
      <w:pPr>
        <w:ind w:left="4320"/>
        <w:ind w:hanging="180"/>
      </w:pPr>
      <w:rPr/>
    </w:lvl>
    <w:lvl w:ilvl="6">
      <w:numFmt w:val="decimal"/>
      <w:lvlText w:val="%7."/>
      <w:start w:val="1"/>
      <w:lvlJc w:val="left"/>
      <w:pPr>
        <w:ind w:left="5040"/>
        <w:ind w:hanging="360"/>
      </w:pPr>
      <w:rPr/>
    </w:lvl>
    <w:lvl w:ilvl="7">
      <w:numFmt w:val="lowerLetter"/>
      <w:lvlText w:val="%8."/>
      <w:start w:val="1"/>
      <w:lvlJc w:val="left"/>
      <w:pPr>
        <w:ind w:left="5760"/>
        <w:ind w:hanging="360"/>
      </w:pPr>
      <w:rPr/>
    </w:lvl>
    <w:lvl w:ilvl="8">
      <w:numFmt w:val="lowerRoman"/>
      <w:lvlText w:val="%9."/>
      <w:start w:val="1"/>
      <w:lvlJc w:val="right"/>
      <w:pPr>
        <w:ind w:left="6480"/>
        <w:ind w:hanging="180"/>
      </w:pPr>
      <w:rPr/>
    </w:lvl>
  </w:abstractNum>
  <w:abstractNum w:abstractNumId="882402909">
    <w:multiLevelType w:val="hybridMultilevel"/>
    <w:lvl w:ilvl="0">
      <w:numFmt w:val="decimal"/>
      <w:lvlText w:val="%1."/>
      <w:start w:val="1"/>
      <w:lvlJc w:val="left"/>
      <w:pPr>
        <w:ind w:left="900"/>
        <w:ind w:hanging="360"/>
      </w:pPr>
      <w:rPr/>
    </w:lvl>
    <w:lvl w:ilvl="1">
      <w:numFmt w:val="lowerLetter"/>
      <w:lvlText w:val="%2."/>
      <w:start w:val="1"/>
      <w:lvlJc w:val="left"/>
      <w:pPr>
        <w:ind w:left="1440"/>
        <w:ind w:hanging="360"/>
      </w:pPr>
      <w:rPr/>
    </w:lvl>
    <w:lvl w:ilvl="2">
      <w:numFmt w:val="lowerRoman"/>
      <w:lvlText w:val="%3."/>
      <w:start w:val="1"/>
      <w:lvlJc w:val="right"/>
      <w:pPr>
        <w:ind w:left="2160"/>
        <w:ind w:hanging="180"/>
      </w:pPr>
      <w:rPr/>
    </w:lvl>
    <w:lvl w:ilvl="3">
      <w:numFmt w:val="decimal"/>
      <w:lvlText w:val="%4."/>
      <w:start w:val="1"/>
      <w:lvlJc w:val="left"/>
      <w:pPr>
        <w:ind w:left="2880"/>
        <w:ind w:hanging="360"/>
      </w:pPr>
      <w:rPr/>
    </w:lvl>
    <w:lvl w:ilvl="4">
      <w:numFmt w:val="lowerLetter"/>
      <w:lvlText w:val="%5."/>
      <w:start w:val="1"/>
      <w:lvlJc w:val="left"/>
      <w:pPr>
        <w:ind w:left="3600"/>
        <w:ind w:hanging="360"/>
      </w:pPr>
      <w:rPr/>
    </w:lvl>
    <w:lvl w:ilvl="5">
      <w:numFmt w:val="lowerRoman"/>
      <w:lvlText w:val="%6."/>
      <w:start w:val="1"/>
      <w:lvlJc w:val="right"/>
      <w:pPr>
        <w:ind w:left="4320"/>
        <w:ind w:hanging="180"/>
      </w:pPr>
      <w:rPr/>
    </w:lvl>
    <w:lvl w:ilvl="6">
      <w:numFmt w:val="decimal"/>
      <w:lvlText w:val="%7."/>
      <w:start w:val="1"/>
      <w:lvlJc w:val="left"/>
      <w:pPr>
        <w:ind w:left="5040"/>
        <w:ind w:hanging="360"/>
      </w:pPr>
      <w:rPr/>
    </w:lvl>
    <w:lvl w:ilvl="7">
      <w:numFmt w:val="lowerLetter"/>
      <w:lvlText w:val="%8."/>
      <w:start w:val="1"/>
      <w:lvlJc w:val="left"/>
      <w:pPr>
        <w:ind w:left="5760"/>
        <w:ind w:hanging="360"/>
      </w:pPr>
      <w:rPr/>
    </w:lvl>
    <w:lvl w:ilvl="8">
      <w:numFmt w:val="lowerRoman"/>
      <w:lvlText w:val="%9."/>
      <w:start w:val="1"/>
      <w:lvlJc w:val="right"/>
      <w:pPr>
        <w:ind w:left="6480"/>
        <w:ind w:hanging="180"/>
      </w:pPr>
      <w:rPr/>
    </w:lvl>
  </w:abstractNum>
  <w:abstractNum w:abstractNumId="1023440688">
    <w:multiLevelType w:val="hybridMultilevel"/>
    <w:lvl w:ilvl="0">
      <w:numFmt w:val="decimal"/>
      <w:lvlText w:val="%1."/>
      <w:start w:val="1"/>
      <w:lvlJc w:val="left"/>
      <w:pPr>
        <w:ind w:left="720"/>
        <w:ind w:hanging="360"/>
      </w:pPr>
      <w:rPr/>
    </w:lvl>
    <w:lvl w:ilvl="1">
      <w:numFmt w:val="lowerLetter"/>
      <w:lvlText w:val="%2."/>
      <w:start w:val="1"/>
      <w:lvlJc w:val="left"/>
      <w:pPr>
        <w:ind w:left="1440"/>
        <w:ind w:hanging="360"/>
      </w:pPr>
      <w:rPr/>
    </w:lvl>
    <w:lvl w:ilvl="2">
      <w:numFmt w:val="lowerRoman"/>
      <w:lvlText w:val="%3."/>
      <w:start w:val="1"/>
      <w:lvlJc w:val="right"/>
      <w:pPr>
        <w:ind w:left="2160"/>
        <w:ind w:hanging="180"/>
      </w:pPr>
      <w:rPr/>
    </w:lvl>
    <w:lvl w:ilvl="3">
      <w:numFmt w:val="decimal"/>
      <w:lvlText w:val="%4."/>
      <w:start w:val="1"/>
      <w:lvlJc w:val="left"/>
      <w:pPr>
        <w:ind w:left="2880"/>
        <w:ind w:hanging="360"/>
      </w:pPr>
      <w:rPr/>
    </w:lvl>
    <w:lvl w:ilvl="4">
      <w:numFmt w:val="lowerLetter"/>
      <w:lvlText w:val="%5."/>
      <w:start w:val="1"/>
      <w:lvlJc w:val="left"/>
      <w:pPr>
        <w:ind w:left="3600"/>
        <w:ind w:hanging="360"/>
      </w:pPr>
      <w:rPr/>
    </w:lvl>
    <w:lvl w:ilvl="5">
      <w:numFmt w:val="lowerRoman"/>
      <w:lvlText w:val="%6."/>
      <w:start w:val="1"/>
      <w:lvlJc w:val="right"/>
      <w:pPr>
        <w:ind w:left="4320"/>
        <w:ind w:hanging="180"/>
      </w:pPr>
      <w:rPr/>
    </w:lvl>
    <w:lvl w:ilvl="6">
      <w:numFmt w:val="decimal"/>
      <w:lvlText w:val="%7."/>
      <w:start w:val="1"/>
      <w:lvlJc w:val="left"/>
      <w:pPr>
        <w:ind w:left="5040"/>
        <w:ind w:hanging="360"/>
      </w:pPr>
      <w:rPr/>
    </w:lvl>
    <w:lvl w:ilvl="7">
      <w:numFmt w:val="lowerLetter"/>
      <w:lvlText w:val="%8."/>
      <w:start w:val="1"/>
      <w:lvlJc w:val="left"/>
      <w:pPr>
        <w:ind w:left="5760"/>
        <w:ind w:hanging="360"/>
      </w:pPr>
      <w:rPr/>
    </w:lvl>
    <w:lvl w:ilvl="8">
      <w:numFmt w:val="lowerRoman"/>
      <w:lvlText w:val="%9."/>
      <w:start w:val="1"/>
      <w:lvlJc w:val="right"/>
      <w:pPr>
        <w:ind w:left="6480"/>
        <w:ind w:hanging="180"/>
      </w:pPr>
      <w:rPr/>
    </w:lvl>
  </w:abstractNum>
  <w:abstractNum w:abstractNumId="1313754309">
    <w:multiLevelType w:val="hybridMultilevel"/>
    <w:lvl w:ilvl="0">
      <w:numFmt w:val="bullet"/>
      <w:lvlText w:val=""/>
      <w:start w:val="0"/>
      <w:lvlJc w:val="left"/>
      <w:pPr>
        <w:ind w:left="360"/>
        <w:ind w:hanging="360"/>
      </w:pPr>
      <w:rPr>
        <w:rFonts w:ascii="Symbol" w:hAnsi="Symbol"/>
      </w:rPr>
    </w:lvl>
    <w:lvl w:ilvl="1">
      <w:numFmt w:val="bullet"/>
      <w:lvlText w:val="o"/>
      <w:start w:val="0"/>
      <w:lvlJc w:val="left"/>
      <w:pPr>
        <w:ind w:left="1500"/>
        <w:ind w:hanging="360"/>
      </w:pPr>
      <w:rPr>
        <w:rFonts w:ascii="Courier New" w:hAnsi="Courier New"/>
      </w:rPr>
    </w:lvl>
    <w:lvl w:ilvl="2">
      <w:numFmt w:val="bullet"/>
      <w:lvlText w:val=""/>
      <w:start w:val="0"/>
      <w:lvlJc w:val="left"/>
      <w:pPr>
        <w:ind w:left="2220"/>
        <w:ind w:hanging="360"/>
      </w:pPr>
      <w:rPr>
        <w:rFonts w:ascii="Wingdings" w:hAnsi="Wingdings"/>
      </w:rPr>
    </w:lvl>
    <w:lvl w:ilvl="3">
      <w:numFmt w:val="bullet"/>
      <w:lvlText w:val=""/>
      <w:start w:val="0"/>
      <w:lvlJc w:val="left"/>
      <w:pPr>
        <w:ind w:left="2940"/>
        <w:ind w:hanging="360"/>
      </w:pPr>
      <w:rPr>
        <w:rFonts w:ascii="Symbol" w:hAnsi="Symbol"/>
      </w:rPr>
    </w:lvl>
    <w:lvl w:ilvl="4">
      <w:numFmt w:val="bullet"/>
      <w:lvlText w:val="o"/>
      <w:start w:val="0"/>
      <w:lvlJc w:val="left"/>
      <w:pPr>
        <w:ind w:left="3660"/>
        <w:ind w:hanging="360"/>
      </w:pPr>
      <w:rPr>
        <w:rFonts w:ascii="Courier New" w:hAnsi="Courier New"/>
      </w:rPr>
    </w:lvl>
    <w:lvl w:ilvl="5">
      <w:numFmt w:val="bullet"/>
      <w:lvlText w:val=""/>
      <w:start w:val="0"/>
      <w:lvlJc w:val="left"/>
      <w:pPr>
        <w:ind w:left="4380"/>
        <w:ind w:hanging="360"/>
      </w:pPr>
      <w:rPr>
        <w:rFonts w:ascii="Wingdings" w:hAnsi="Wingdings"/>
      </w:rPr>
    </w:lvl>
    <w:lvl w:ilvl="6">
      <w:numFmt w:val="bullet"/>
      <w:lvlText w:val=""/>
      <w:start w:val="0"/>
      <w:lvlJc w:val="left"/>
      <w:pPr>
        <w:ind w:left="5100"/>
        <w:ind w:hanging="360"/>
      </w:pPr>
      <w:rPr>
        <w:rFonts w:ascii="Symbol" w:hAnsi="Symbol"/>
      </w:rPr>
    </w:lvl>
    <w:lvl w:ilvl="7">
      <w:numFmt w:val="bullet"/>
      <w:lvlText w:val="o"/>
      <w:start w:val="0"/>
      <w:lvlJc w:val="left"/>
      <w:pPr>
        <w:ind w:left="5820"/>
        <w:ind w:hanging="360"/>
      </w:pPr>
      <w:rPr>
        <w:rFonts w:ascii="Courier New" w:hAnsi="Courier New"/>
      </w:rPr>
    </w:lvl>
    <w:lvl w:ilvl="8">
      <w:numFmt w:val="bullet"/>
      <w:lvlText w:val=""/>
      <w:start w:val="0"/>
      <w:lvlJc w:val="left"/>
      <w:pPr>
        <w:ind w:left="6540"/>
        <w:ind w:hanging="360"/>
      </w:pPr>
      <w:rPr>
        <w:rFonts w:ascii="Wingdings" w:hAnsi="Wingdings"/>
      </w:rPr>
    </w:lvl>
  </w:abstractNum>
  <w:abstractNum w:abstractNumId="1743143578">
    <w:multiLevelType w:val="hybridMultilevel"/>
    <w:lvl w:ilvl="0">
      <w:numFmt w:val="decimal"/>
      <w:lvlText w:val="%1."/>
      <w:start w:val="1"/>
      <w:lvlJc w:val="left"/>
      <w:pPr>
        <w:ind w:left="900"/>
        <w:ind w:hanging="360"/>
      </w:pPr>
      <w:rPr/>
    </w:lvl>
    <w:lvl w:ilvl="1">
      <w:numFmt w:val="lowerLetter"/>
      <w:lvlText w:val="%2."/>
      <w:start w:val="1"/>
      <w:lvlJc w:val="left"/>
      <w:pPr>
        <w:ind w:left="1440"/>
        <w:ind w:hanging="360"/>
      </w:pPr>
      <w:rPr/>
    </w:lvl>
    <w:lvl w:ilvl="2">
      <w:numFmt w:val="lowerRoman"/>
      <w:lvlText w:val="%3."/>
      <w:start w:val="1"/>
      <w:lvlJc w:val="right"/>
      <w:pPr>
        <w:ind w:left="2160"/>
        <w:ind w:hanging="180"/>
      </w:pPr>
      <w:rPr/>
    </w:lvl>
    <w:lvl w:ilvl="3">
      <w:numFmt w:val="decimal"/>
      <w:lvlText w:val="%4."/>
      <w:start w:val="1"/>
      <w:lvlJc w:val="left"/>
      <w:pPr>
        <w:ind w:left="2880"/>
        <w:ind w:hanging="360"/>
      </w:pPr>
      <w:rPr/>
    </w:lvl>
    <w:lvl w:ilvl="4">
      <w:numFmt w:val="lowerLetter"/>
      <w:lvlText w:val="%5."/>
      <w:start w:val="1"/>
      <w:lvlJc w:val="left"/>
      <w:pPr>
        <w:ind w:left="3600"/>
        <w:ind w:hanging="360"/>
      </w:pPr>
      <w:rPr/>
    </w:lvl>
    <w:lvl w:ilvl="5">
      <w:numFmt w:val="lowerRoman"/>
      <w:lvlText w:val="%6."/>
      <w:start w:val="1"/>
      <w:lvlJc w:val="right"/>
      <w:pPr>
        <w:ind w:left="4320"/>
        <w:ind w:hanging="180"/>
      </w:pPr>
      <w:rPr/>
    </w:lvl>
    <w:lvl w:ilvl="6">
      <w:numFmt w:val="decimal"/>
      <w:lvlText w:val="%7."/>
      <w:start w:val="1"/>
      <w:lvlJc w:val="left"/>
      <w:pPr>
        <w:ind w:left="5040"/>
        <w:ind w:hanging="360"/>
      </w:pPr>
      <w:rPr/>
    </w:lvl>
    <w:lvl w:ilvl="7">
      <w:numFmt w:val="lowerLetter"/>
      <w:lvlText w:val="%8."/>
      <w:start w:val="1"/>
      <w:lvlJc w:val="left"/>
      <w:pPr>
        <w:ind w:left="5760"/>
        <w:ind w:hanging="360"/>
      </w:pPr>
      <w:rPr/>
    </w:lvl>
    <w:lvl w:ilvl="8">
      <w:numFmt w:val="lowerRoman"/>
      <w:lvlText w:val="%9."/>
      <w:start w:val="1"/>
      <w:lvlJc w:val="right"/>
      <w:pPr>
        <w:ind w:left="6480"/>
        <w:ind w:hanging="180"/>
      </w:pPr>
      <w:rPr/>
    </w:lvl>
  </w:abstractNum>
  <w:abstractNum w:abstractNumId="1834949211">
    <w:multiLevelType w:val="hybridMultilevel"/>
    <w:lvl w:ilvl="0">
      <w:numFmt w:val="decimal"/>
      <w:lvlText w:val="%1."/>
      <w:start w:val="1"/>
      <w:lvlJc w:val="left"/>
      <w:pPr>
        <w:ind w:left="720"/>
        <w:ind w:hanging="360"/>
      </w:pPr>
      <w:rPr/>
    </w:lvl>
    <w:lvl w:ilvl="1">
      <w:numFmt w:val="lowerLetter"/>
      <w:lvlText w:val="%2."/>
      <w:start w:val="1"/>
      <w:lvlJc w:val="left"/>
      <w:pPr>
        <w:ind w:left="1440"/>
        <w:ind w:hanging="360"/>
      </w:pPr>
      <w:rPr/>
    </w:lvl>
    <w:lvl w:ilvl="2">
      <w:numFmt w:val="lowerRoman"/>
      <w:lvlText w:val="%3."/>
      <w:start w:val="1"/>
      <w:lvlJc w:val="right"/>
      <w:pPr>
        <w:ind w:left="2160"/>
        <w:ind w:hanging="180"/>
      </w:pPr>
      <w:rPr/>
    </w:lvl>
    <w:lvl w:ilvl="3">
      <w:numFmt w:val="decimal"/>
      <w:lvlText w:val="%4."/>
      <w:start w:val="1"/>
      <w:lvlJc w:val="left"/>
      <w:pPr>
        <w:ind w:left="2880"/>
        <w:ind w:hanging="360"/>
      </w:pPr>
      <w:rPr/>
    </w:lvl>
    <w:lvl w:ilvl="4">
      <w:numFmt w:val="lowerLetter"/>
      <w:lvlText w:val="%5."/>
      <w:start w:val="1"/>
      <w:lvlJc w:val="left"/>
      <w:pPr>
        <w:ind w:left="3600"/>
        <w:ind w:hanging="360"/>
      </w:pPr>
      <w:rPr/>
    </w:lvl>
    <w:lvl w:ilvl="5">
      <w:numFmt w:val="lowerRoman"/>
      <w:lvlText w:val="%6."/>
      <w:start w:val="1"/>
      <w:lvlJc w:val="right"/>
      <w:pPr>
        <w:ind w:left="4320"/>
        <w:ind w:hanging="180"/>
      </w:pPr>
      <w:rPr/>
    </w:lvl>
    <w:lvl w:ilvl="6">
      <w:numFmt w:val="decimal"/>
      <w:lvlText w:val="%7."/>
      <w:start w:val="1"/>
      <w:lvlJc w:val="left"/>
      <w:pPr>
        <w:ind w:left="5040"/>
        <w:ind w:hanging="360"/>
      </w:pPr>
      <w:rPr/>
    </w:lvl>
    <w:lvl w:ilvl="7">
      <w:numFmt w:val="lowerLetter"/>
      <w:lvlText w:val="%8."/>
      <w:start w:val="1"/>
      <w:lvlJc w:val="left"/>
      <w:pPr>
        <w:ind w:left="5760"/>
        <w:ind w:hanging="360"/>
      </w:pPr>
      <w:rPr/>
    </w:lvl>
    <w:lvl w:ilvl="8">
      <w:numFmt w:val="lowerRoman"/>
      <w:lvlText w:val="%9."/>
      <w:start w:val="1"/>
      <w:lvlJc w:val="right"/>
      <w:pPr>
        <w:ind w:left="6480"/>
        <w:ind w:hanging="180"/>
      </w:pPr>
      <w:rPr/>
    </w:lvl>
  </w:abstractNum>
  <w:abstractNum w:abstractNumId="2083676010">
    <w:multiLevelType w:val="hybridMultilevel"/>
    <w:lvl w:ilvl="0">
      <w:numFmt w:val="bullet"/>
      <w:lvlText w:val=""/>
      <w:start w:val="0"/>
      <w:lvlJc w:val="left"/>
      <w:pPr>
        <w:ind w:left="720"/>
        <w:ind w:hanging="360"/>
      </w:pPr>
      <w:rPr>
        <w:rFonts w:ascii="Symbol" w:hAnsi="Symbol"/>
      </w:rPr>
    </w:lvl>
    <w:lvl w:ilvl="1">
      <w:numFmt w:val="bullet"/>
      <w:lvlText w:val="o"/>
      <w:start w:val="0"/>
      <w:lvlJc w:val="left"/>
      <w:pPr>
        <w:ind w:left="1440"/>
        <w:ind w:hanging="360"/>
      </w:pPr>
      <w:rPr>
        <w:rFonts w:ascii="Courier New" w:hAnsi="Courier New"/>
      </w:rPr>
    </w:lvl>
    <w:lvl w:ilvl="2">
      <w:numFmt w:val="bullet"/>
      <w:lvlText w:val=""/>
      <w:start w:val="0"/>
      <w:lvlJc w:val="left"/>
      <w:pPr>
        <w:ind w:left="2160"/>
        <w:ind w:hanging="360"/>
      </w:pPr>
      <w:rPr>
        <w:rFonts w:ascii="Wingdings" w:hAnsi="Wingdings"/>
      </w:rPr>
    </w:lvl>
    <w:lvl w:ilvl="3">
      <w:numFmt w:val="bullet"/>
      <w:lvlText w:val=""/>
      <w:start w:val="0"/>
      <w:lvlJc w:val="left"/>
      <w:pPr>
        <w:ind w:left="2880"/>
        <w:ind w:hanging="360"/>
      </w:pPr>
      <w:rPr>
        <w:rFonts w:ascii="Symbol" w:hAnsi="Symbol"/>
      </w:rPr>
    </w:lvl>
    <w:lvl w:ilvl="4">
      <w:numFmt w:val="bullet"/>
      <w:lvlText w:val="o"/>
      <w:start w:val="0"/>
      <w:lvlJc w:val="left"/>
      <w:pPr>
        <w:ind w:left="3600"/>
        <w:ind w:hanging="360"/>
      </w:pPr>
      <w:rPr>
        <w:rFonts w:ascii="Courier New" w:hAnsi="Courier New"/>
      </w:rPr>
    </w:lvl>
    <w:lvl w:ilvl="5">
      <w:numFmt w:val="bullet"/>
      <w:lvlText w:val=""/>
      <w:start w:val="0"/>
      <w:lvlJc w:val="left"/>
      <w:pPr>
        <w:ind w:left="4320"/>
        <w:ind w:hanging="360"/>
      </w:pPr>
      <w:rPr>
        <w:rFonts w:ascii="Wingdings" w:hAnsi="Wingdings"/>
      </w:rPr>
    </w:lvl>
    <w:lvl w:ilvl="6">
      <w:numFmt w:val="bullet"/>
      <w:lvlText w:val=""/>
      <w:start w:val="0"/>
      <w:lvlJc w:val="left"/>
      <w:pPr>
        <w:ind w:left="5040"/>
        <w:ind w:hanging="360"/>
      </w:pPr>
      <w:rPr>
        <w:rFonts w:ascii="Symbol" w:hAnsi="Symbol"/>
      </w:rPr>
    </w:lvl>
    <w:lvl w:ilvl="7">
      <w:numFmt w:val="bullet"/>
      <w:lvlText w:val="o"/>
      <w:start w:val="0"/>
      <w:lvlJc w:val="left"/>
      <w:pPr>
        <w:ind w:left="5760"/>
        <w:ind w:hanging="360"/>
      </w:pPr>
      <w:rPr>
        <w:rFonts w:ascii="Courier New" w:hAnsi="Courier New"/>
      </w:rPr>
    </w:lvl>
    <w:lvl w:ilvl="8">
      <w:numFmt w:val="bullet"/>
      <w:lvlText w:val=""/>
      <w:start w:val="0"/>
      <w:lvlJc w:val="left"/>
      <w:pPr>
        <w:ind w:left="6480"/>
        <w:ind w:hanging="360"/>
      </w:pPr>
      <w:rPr>
        <w:rFonts w:ascii="Wingdings" w:hAnsi="Wingdings"/>
      </w:rPr>
    </w:lvl>
  </w:abstractNum>
  <w:abstractNum w:abstractNumId="10121982">
    <w:multiLevelType w:val="hybridMultilevel"/>
    <w:lvl w:ilvl="0">
      <w:numFmt w:val="decimal"/>
      <w:lvlText w:val="%1."/>
      <w:start w:val="1"/>
      <w:lvlJc w:val="left"/>
      <w:pPr>
        <w:ind w:left="720"/>
      </w:pPr>
    </w:lvl>
    <w:lvl w:ilvl="1">
      <w:numFmt w:val="decimal"/>
      <w:lvlText w:val="%2."/>
      <w:start w:val="1"/>
      <w:lvlJc w:val="left"/>
      <w:pPr>
        <w:ind w:left="1440"/>
      </w:pPr>
    </w:lvl>
    <w:lvl w:ilvl="2">
      <w:numFmt w:val="decimal"/>
      <w:lvlText w:val="%3."/>
      <w:start w:val="1"/>
      <w:lvlJc w:val="left"/>
      <w:pPr>
        <w:ind w:left="2160"/>
      </w:pPr>
    </w:lvl>
    <w:lvl w:ilvl="3">
      <w:numFmt w:val="decimal"/>
      <w:lvlText w:val="%4."/>
      <w:start w:val="1"/>
      <w:lvlJc w:val="left"/>
      <w:pPr>
        <w:ind w:left="2880"/>
      </w:pPr>
    </w:lvl>
    <w:lvl w:ilvl="4">
      <w:numFmt w:val="decimal"/>
      <w:lvlText w:val="%5."/>
      <w:start w:val="1"/>
      <w:lvlJc w:val="left"/>
      <w:pPr>
        <w:ind w:left="3600"/>
      </w:pPr>
    </w:lvl>
    <w:lvl w:ilvl="5">
      <w:numFmt w:val="decimal"/>
      <w:lvlText w:val="%6."/>
      <w:start w:val="1"/>
      <w:lvlJc w:val="left"/>
      <w:pPr>
        <w:ind w:left="4320"/>
      </w:pPr>
    </w:lvl>
    <w:lvl w:ilvl="6">
      <w:numFmt w:val="decimal"/>
      <w:lvlText w:val="%7."/>
      <w:start w:val="1"/>
      <w:lvlJc w:val="left"/>
      <w:pPr>
        <w:ind w:left="5040"/>
      </w:pPr>
    </w:lvl>
    <w:lvl w:ilvl="7">
      <w:numFmt w:val="decimal"/>
      <w:lvlText w:val="%8."/>
      <w:start w:val="1"/>
      <w:lvlJc w:val="left"/>
      <w:pPr>
        <w:ind w:left="5760"/>
      </w:pPr>
    </w:lvl>
    <w:lvl w:ilvl="8">
      <w:numFmt w:val="decimal"/>
      <w:lvlText w:val="%9."/>
      <w:start w:val="1"/>
      <w:lvlJc w:val="left"/>
      <w:pPr>
        <w:ind w:left="6480"/>
      </w:pPr>
    </w:lvl>
  </w:abstractNum>
  <w:num w:numId="338965136">
    <w:abstractNumId w:val="338965136"/>
  </w:num>
  <w:num w:numId="340620365">
    <w:abstractNumId w:val="340620365"/>
  </w:num>
  <w:num w:numId="882402909">
    <w:abstractNumId w:val="882402909"/>
  </w:num>
  <w:num w:numId="1023440688">
    <w:abstractNumId w:val="1023440688"/>
  </w:num>
  <w:num w:numId="1313754309">
    <w:abstractNumId w:val="1313754309"/>
  </w:num>
  <w:num w:numId="1743143578">
    <w:abstractNumId w:val="1743143578"/>
  </w:num>
  <w:num w:numId="1834949211">
    <w:abstractNumId w:val="1834949211"/>
  </w:num>
  <w:num w:numId="2083676010">
    <w:abstractNumId w:val="2083676010"/>
  </w:num>
  <w:num w:numId="10121982">
    <w:abstractNumId w:val="101219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8E7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sz w:val="24"/>
      </w:rPr>
    </w:rPrDefault>
    <w:pPrDefault>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pPr/>
  </w:style>
  <w:style w:type="character" w:styleId="Default Paragraph Font">
    <w:name w:val="Default Paragraph Font"/>
    <w:qFormat/>
  </w:style>
  <w:style w:styleId="Table Normal">
    <w:name w:val="Table Normal"/>
    <w:qFormat/>
  </w:style>
  <w:style w:styleId="No List">
    <w:name w:val="No List"/>
    <w:qFormat/>
  </w:style>
  <w:style w:type="character" w:styleId="Hyperlink">
    <w:name w:val="Hyperlink"/>
    <w:qFormat/>
    <w:basedOn w:val="Default Paragraph Font"/>
    <w:rPr>
      <w:u w:val="single"/>
      <w:color w:val="#0000ff"/>
    </w:rPr>
  </w:style>
  <w:style w:styleId="Table Grid">
    <w:name w:val="Table Grid"/>
    <w:qFormat/>
    <w:basedOn w:val="Table Normal"/>
  </w:style>
  <w:style w:type="paragraph" w:styleId="List Paragraph">
    <w:name w:val="List Paragraph"/>
    <w:qFormat/>
    <w:basedOn w:val="Normal"/>
    <w:pPr>
      <w:ind w:left="720"/>
    </w:pPr>
  </w:style>
  <w:style w:type="character" w:styleId="Emphasis">
    <w:name w:val="Emphasis"/>
    <w:qFormat/>
    <w:basedOn w:val="Default Paragraph Font"/>
    <w:rPr>
      <w:i/>
    </w:rPr>
  </w:style>
  <w:style w:type="paragraph" w:styleId="Body Text Indent">
    <w:name w:val="Body Text Indent"/>
    <w:qFormat/>
    <w:basedOn w:val="Normal"/>
    <w:rPr>
      <w:sz w:val="20"/>
    </w:rPr>
    <w:pPr>
      <w:ind w:left="360"/>
      <w:spacing w:after="120"/>
    </w:pPr>
  </w:style>
  <w:style w:type="character" w:styleId="Body Text Indent Char">
    <w:name w:val="Body Text Indent Char"/>
    <w:qFormat/>
    <w:basedOn w:val="Default Paragraph Font"/>
  </w:style>
  <w:style w:type="paragraph" w:styleId="coursetitle">
    <w:name w:val="coursetitle"/>
    <w:qFormat/>
    <w:basedOn w:val="Normal"/>
    <w:rPr>
      <w:color w:val="#003366"/>
      <w:rFonts w:ascii="Verdana" w:hAnsi="Verdana"/>
      <w:sz w:val="20"/>
    </w:rPr>
    <w:pPr>
      <w:spacing w:before="120" w:after="120"/>
    </w:pPr>
  </w:style>
  <w:style w:type="paragraph" w:styleId="coursedescriptions">
    <w:name w:val="coursedescriptions"/>
    <w:qFormat/>
    <w:basedOn w:val="Normal"/>
    <w:rPr>
      <w:color w:val="#000000"/>
      <w:rFonts w:ascii="Verdana" w:hAnsi="Verdana"/>
      <w:sz w:val="17"/>
    </w:rPr>
    <w:pPr>
      <w:spacing w:after="120"/>
    </w:pPr>
  </w:style>
  <w:style w:type="paragraph" w:styleId="prerequisites">
    <w:name w:val="prerequisites"/>
    <w:qFormat/>
    <w:basedOn w:val="Normal"/>
    <w:rPr>
      <w:i/>
      <w:color w:val="#000000"/>
      <w:rFonts w:ascii="Verdana" w:hAnsi="Verdana"/>
      <w:sz w:val="17"/>
    </w:rPr>
    <w:pPr>
      <w:spacing w:before="120" w:after="120"/>
    </w:pPr>
  </w:style>
  <w:style w:type="paragraph" w:styleId="Title">
    <w:name w:val="Title"/>
    <w:qFormat/>
    <w:basedOn w:val="Normal"/>
    <w:rPr>
      <w:color w:val="#17365d"/>
      <w:sz w:val="52"/>
    </w:rPr>
    <w:pPr>
      <w:spacing w:after="300"/>
    </w:pPr>
  </w:style>
  <w:style w:type="paragraph" w:styleId="Subtitle">
    <w:name w:val="Subtitle"/>
    <w:qFormat/>
    <w:basedOn w:val="Normal"/>
    <w:rPr>
      <w:i/>
      <w:color w:val="#4f81bd"/>
      <w:sz w:val="24"/>
    </w:rPr>
  </w:style>
  <w:style w:type="paragraph" w:styleId="Heading 1">
    <w:name w:val="Heading 1"/>
    <w:qFormat/>
    <w:basedOn w:val="Normal"/>
    <w:rPr>
      <w:b/>
      <w:color w:val="#345a8a"/>
      <w:sz w:val="32"/>
    </w:rPr>
    <w:pPr>
      <w:spacing w:before="480"/>
    </w:pPr>
  </w:style>
  <w:style w:type="paragraph" w:styleId="Heading 2">
    <w:name w:val="Heading 2"/>
    <w:qFormat/>
    <w:basedOn w:val="Normal"/>
    <w:rPr>
      <w:b/>
      <w:color w:val="#4f81bd"/>
      <w:sz w:val="26"/>
    </w:rPr>
    <w:pPr>
      <w:spacing w:before="200"/>
    </w:pPr>
  </w:style>
  <w:style w:type="paragraph" w:styleId="Heading 3">
    <w:name w:val="Heading 3"/>
    <w:qFormat/>
    <w:basedOn w:val="Normal"/>
    <w:rPr>
      <w:b/>
      <w:color w:val="#4f81bd"/>
      <w:sz w:val="24"/>
    </w:rPr>
    <w:pPr>
      <w:spacing w:before="20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Relationships xmlns="http://schemas.openxmlformats.org/package/2006/relationships"><Relationship Id="rId0" Type="http://schemas.openxmlformats.org/officeDocument/2006/relationships/image" Target="media/image1.wmf"/><Relationship Id="rId1" Type="http://schemas.openxmlformats.org/officeDocument/2006/relationships/numbering" Target="numbering.xml"/><Relationship Id="rId2" TargetMode="External" Type="http://schemas.openxmlformats.org/officeDocument/2006/relationships/hyperlink" Target="mailto:hkellermann@tacomacc.edu"/><Relationship Id="rId3" TargetMode="External" Type="http://schemas.openxmlformats.org/officeDocument/2006/relationships/hyperlink" Target="http://www.tacomacc.edu/resourcesforstudents/studentpolicies/administrativeprocedureforacademicdishonesty.asp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2007-04-30T19:01:00Z</dcterms:created>
  <dcterms:modified xsi:type="dcterms:W3CDTF">2011-09-26T12:08:00Z</dcterms:modified>
</cp:coreProperties>
</file>