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is a basic format for setting up a PC and PLC communication.  </w:t>
        <w:tab/>
        <w:t xml:space="preserve">Written by: JD Jones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Open RS Linx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 xml:space="preserve">Plug in the USB cable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ab/>
        <w:t xml:space="preserve">Right click the USB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ab/>
        <w:tab/>
        <w:t xml:space="preserve">Select Module Config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ab/>
        <w:tab/>
        <w:tab/>
        <w:t xml:space="preserve">Open Port Config tab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Change it to the IP address you need.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Now you have changed the PLC’s IP address.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On the PC now you have to set the Local Area Network to the same IP address. 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 xml:space="preserve">Go to the start panel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ab/>
        <w:t xml:space="preserve">Network Settings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ab/>
        <w:tab/>
        <w:t xml:space="preserve">Local area network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ab/>
        <w:tab/>
        <w:tab/>
        <w:t xml:space="preserve">Properties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Internet Protocol Version 4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 xml:space="preserve">Properties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 xml:space="preserve">Choose a static address. Not the automatic.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 xml:space="preserve">Enter the first 3 groups as the same and the 4th has to be different. 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subnet mask should be 255 255 255 0.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Refresh the RS Linx screen and you should see the PLC on the Ethernet driver expansion.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