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1141BD" w:rsidRPr="004C5A32" w14:paraId="010758BA" w14:textId="77777777">
        <w:tc>
          <w:tcPr>
            <w:tcW w:w="11016" w:type="dxa"/>
            <w:tcBorders>
              <w:top w:val="single" w:sz="12" w:space="0" w:color="auto"/>
              <w:left w:val="single" w:sz="12" w:space="0" w:color="auto"/>
              <w:bottom w:val="single" w:sz="12" w:space="0" w:color="auto"/>
              <w:right w:val="single" w:sz="12" w:space="0" w:color="auto"/>
            </w:tcBorders>
            <w:shd w:val="clear" w:color="auto" w:fill="F2F2F2"/>
            <w:vAlign w:val="center"/>
          </w:tcPr>
          <w:p w14:paraId="13716A4A" w14:textId="77777777" w:rsidR="001141BD" w:rsidRPr="004C5A32" w:rsidRDefault="001141BD" w:rsidP="00DB406B">
            <w:pPr>
              <w:jc w:val="center"/>
              <w:rPr>
                <w:rFonts w:ascii="Calibri" w:hAnsi="Calibri" w:cs="Calibri"/>
                <w:color w:val="FF0000"/>
              </w:rPr>
            </w:pPr>
            <w:r w:rsidRPr="004C5A32">
              <w:rPr>
                <w:rFonts w:ascii="Calibri" w:hAnsi="Calibri" w:cs="Calibri"/>
                <w:b/>
                <w:bCs/>
                <w:color w:val="auto"/>
                <w:sz w:val="32"/>
                <w:szCs w:val="32"/>
                <w:u w:val="single"/>
              </w:rPr>
              <w:t>ENRG 58 - Demand Response</w:t>
            </w:r>
            <w:r w:rsidR="00DB406B">
              <w:rPr>
                <w:rFonts w:ascii="Calibri" w:hAnsi="Calibri" w:cs="Calibri"/>
                <w:b/>
                <w:bCs/>
                <w:color w:val="auto"/>
                <w:sz w:val="32"/>
                <w:szCs w:val="32"/>
                <w:u w:val="single"/>
              </w:rPr>
              <w:t xml:space="preserve"> for Energy Auditors</w:t>
            </w:r>
            <w:bookmarkStart w:id="0" w:name="_GoBack"/>
            <w:bookmarkEnd w:id="0"/>
            <w:r w:rsidRPr="004C5A32">
              <w:rPr>
                <w:rFonts w:ascii="Calibri" w:hAnsi="Calibri" w:cs="Calibri"/>
                <w:b/>
                <w:bCs/>
                <w:color w:val="FF0000"/>
                <w:sz w:val="32"/>
                <w:szCs w:val="32"/>
                <w:u w:val="single"/>
              </w:rPr>
              <w:br/>
            </w:r>
            <w:r w:rsidRPr="005C1A52">
              <w:rPr>
                <w:rFonts w:ascii="Calibri" w:hAnsi="Calibri" w:cs="Calibri"/>
                <w:b/>
                <w:bCs/>
                <w:color w:val="FF0000"/>
                <w:u w:val="single"/>
              </w:rPr>
              <w:br/>
            </w:r>
            <w:r w:rsidRPr="005C1A52">
              <w:rPr>
                <w:rFonts w:ascii="Calibri" w:hAnsi="Calibri" w:cs="Calibri"/>
                <w:b/>
                <w:bCs/>
                <w:color w:val="auto"/>
                <w:sz w:val="22"/>
                <w:szCs w:val="22"/>
              </w:rPr>
              <w:t>COURSE DESCRIPTION:</w:t>
            </w:r>
            <w:r w:rsidRPr="005C1A52">
              <w:rPr>
                <w:rFonts w:ascii="Calibri" w:hAnsi="Calibri" w:cs="Calibri"/>
                <w:color w:val="auto"/>
                <w:sz w:val="22"/>
                <w:szCs w:val="22"/>
              </w:rPr>
              <w:t xml:space="preserve">  </w:t>
            </w:r>
            <w:r w:rsidRPr="005C1A52">
              <w:rPr>
                <w:rFonts w:ascii="Calibri" w:hAnsi="Calibri" w:cs="Calibri"/>
                <w:sz w:val="22"/>
                <w:szCs w:val="22"/>
              </w:rPr>
              <w:t xml:space="preserve">5% of California generation is only utilized for 40 hours over a year. The power plants represented in this 5% are the dirtiest and most expensive in the state. We can eliminate the need for this generation through the use of demand response (DR) and load management. This class explores the applicability of various DR strategies including global temperature adjustment, global dimming for lights, pre-cooling and load control devices.  DR rates and incentive types will be covered. Other topics include thermal storage and other load shifting systems, </w:t>
            </w:r>
            <w:proofErr w:type="spellStart"/>
            <w:r w:rsidRPr="005C1A52">
              <w:rPr>
                <w:rFonts w:ascii="Calibri" w:hAnsi="Calibri" w:cs="Calibri"/>
                <w:sz w:val="22"/>
                <w:szCs w:val="22"/>
              </w:rPr>
              <w:t>AutoDR</w:t>
            </w:r>
            <w:proofErr w:type="spellEnd"/>
            <w:r w:rsidRPr="005C1A52">
              <w:rPr>
                <w:rFonts w:ascii="Calibri" w:hAnsi="Calibri" w:cs="Calibri"/>
                <w:sz w:val="22"/>
                <w:szCs w:val="22"/>
              </w:rPr>
              <w:t xml:space="preserve">, persistence and commissioning of these systems. </w:t>
            </w:r>
            <w:r>
              <w:rPr>
                <w:rFonts w:ascii="Calibri" w:hAnsi="Calibri" w:cs="Calibri"/>
                <w:color w:val="FF0000"/>
                <w:sz w:val="22"/>
                <w:szCs w:val="22"/>
              </w:rPr>
              <w:br/>
            </w:r>
          </w:p>
        </w:tc>
      </w:tr>
      <w:tr w:rsidR="001141BD" w:rsidRPr="004C5A32" w14:paraId="5FF5AD11" w14:textId="77777777">
        <w:tc>
          <w:tcPr>
            <w:tcW w:w="11016" w:type="dxa"/>
            <w:tcBorders>
              <w:top w:val="single" w:sz="12" w:space="0" w:color="auto"/>
              <w:left w:val="single" w:sz="12" w:space="0" w:color="auto"/>
              <w:right w:val="single" w:sz="12" w:space="0" w:color="auto"/>
            </w:tcBorders>
            <w:shd w:val="clear" w:color="auto" w:fill="F2F2F2"/>
            <w:vAlign w:val="center"/>
          </w:tcPr>
          <w:p w14:paraId="11E381C2" w14:textId="77777777" w:rsidR="001141BD" w:rsidRPr="00B157C9" w:rsidRDefault="001141BD" w:rsidP="006A497B">
            <w:pPr>
              <w:jc w:val="center"/>
              <w:rPr>
                <w:rFonts w:ascii="Calibri" w:hAnsi="Calibri" w:cs="Calibri"/>
                <w:b/>
                <w:bCs/>
                <w:color w:val="auto"/>
              </w:rPr>
            </w:pPr>
            <w:r w:rsidRPr="00B157C9">
              <w:rPr>
                <w:rFonts w:ascii="Calibri" w:hAnsi="Calibri" w:cs="Calibri"/>
                <w:b/>
                <w:bCs/>
                <w:color w:val="auto"/>
                <w:sz w:val="22"/>
                <w:szCs w:val="22"/>
              </w:rPr>
              <w:t>18 Hours lecture</w:t>
            </w:r>
          </w:p>
        </w:tc>
      </w:tr>
    </w:tbl>
    <w:p w14:paraId="6EFD565A" w14:textId="77777777" w:rsidR="001141BD" w:rsidRPr="004C5A32" w:rsidRDefault="001141BD">
      <w:pPr>
        <w:rPr>
          <w:rFonts w:ascii="Calibri" w:hAnsi="Calibri" w:cs="Calibri"/>
          <w:color w:val="FF000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1016"/>
      </w:tblGrid>
      <w:tr w:rsidR="001141BD" w:rsidRPr="004C5A32" w14:paraId="38DC43E4" w14:textId="77777777">
        <w:tc>
          <w:tcPr>
            <w:tcW w:w="11016" w:type="dxa"/>
            <w:shd w:val="clear" w:color="auto" w:fill="F2F2F2"/>
            <w:vAlign w:val="center"/>
          </w:tcPr>
          <w:p w14:paraId="07E6B5E2" w14:textId="77777777" w:rsidR="001141BD" w:rsidRPr="003E0B75" w:rsidRDefault="001141BD" w:rsidP="004958FE">
            <w:pPr>
              <w:jc w:val="center"/>
              <w:rPr>
                <w:rFonts w:ascii="Calibri" w:hAnsi="Calibri" w:cs="Calibri"/>
                <w:b/>
                <w:bCs/>
                <w:i/>
                <w:iCs/>
                <w:color w:val="auto"/>
                <w:sz w:val="28"/>
                <w:szCs w:val="28"/>
              </w:rPr>
            </w:pPr>
            <w:r w:rsidRPr="003E0B75">
              <w:rPr>
                <w:rFonts w:ascii="Calibri" w:hAnsi="Calibri" w:cs="Calibri"/>
                <w:b/>
                <w:bCs/>
                <w:color w:val="auto"/>
                <w:sz w:val="22"/>
                <w:szCs w:val="22"/>
              </w:rPr>
              <w:t>LEARNING OUTCOMES:</w:t>
            </w:r>
          </w:p>
        </w:tc>
      </w:tr>
      <w:tr w:rsidR="001141BD" w:rsidRPr="004C5A32" w14:paraId="0E1F11FE" w14:textId="77777777">
        <w:tc>
          <w:tcPr>
            <w:tcW w:w="11016" w:type="dxa"/>
            <w:vAlign w:val="center"/>
          </w:tcPr>
          <w:p w14:paraId="752562C8" w14:textId="77777777" w:rsidR="001141BD" w:rsidRPr="003E0B75" w:rsidRDefault="001141BD" w:rsidP="003E0B75">
            <w:pPr>
              <w:pStyle w:val="ListParagraph"/>
              <w:numPr>
                <w:ilvl w:val="0"/>
                <w:numId w:val="19"/>
              </w:numPr>
              <w:rPr>
                <w:rFonts w:ascii="Calibri" w:hAnsi="Calibri" w:cs="Calibri"/>
                <w:b/>
                <w:bCs/>
                <w:color w:val="auto"/>
              </w:rPr>
            </w:pPr>
            <w:r>
              <w:rPr>
                <w:rFonts w:ascii="Calibri" w:hAnsi="Calibri" w:cs="Calibri"/>
                <w:color w:val="auto"/>
                <w:sz w:val="22"/>
                <w:szCs w:val="22"/>
              </w:rPr>
              <w:t>Assess</w:t>
            </w:r>
            <w:r w:rsidRPr="003E0B75">
              <w:rPr>
                <w:rFonts w:ascii="Calibri" w:hAnsi="Calibri" w:cs="Calibri"/>
                <w:color w:val="auto"/>
                <w:sz w:val="22"/>
                <w:szCs w:val="22"/>
              </w:rPr>
              <w:t xml:space="preserve"> the importance of load management and demand response in limiting peak load across the electrical grid</w:t>
            </w:r>
          </w:p>
          <w:p w14:paraId="364B9482" w14:textId="77777777" w:rsidR="001141BD" w:rsidRDefault="001141BD" w:rsidP="00B157C9">
            <w:pPr>
              <w:pStyle w:val="ListParagraph"/>
              <w:widowControl/>
              <w:numPr>
                <w:ilvl w:val="0"/>
                <w:numId w:val="19"/>
              </w:numPr>
              <w:suppressAutoHyphens w:val="0"/>
              <w:spacing w:line="276" w:lineRule="auto"/>
              <w:contextualSpacing/>
              <w:rPr>
                <w:rFonts w:ascii="Calibri" w:hAnsi="Calibri" w:cs="Calibri"/>
                <w:color w:val="auto"/>
              </w:rPr>
            </w:pPr>
            <w:r w:rsidRPr="003E0B75">
              <w:rPr>
                <w:rFonts w:ascii="Calibri" w:hAnsi="Calibri" w:cs="Calibri"/>
                <w:color w:val="auto"/>
                <w:sz w:val="22"/>
                <w:szCs w:val="22"/>
              </w:rPr>
              <w:t>Calculate and analyze load factor for various facilities as part of an effort to determine the impact of demand response or load shifting strategies</w:t>
            </w:r>
          </w:p>
          <w:p w14:paraId="0C8D10D4" w14:textId="77777777" w:rsidR="001141BD" w:rsidRDefault="001141BD" w:rsidP="00B157C9">
            <w:pPr>
              <w:pStyle w:val="ListParagraph"/>
              <w:widowControl/>
              <w:numPr>
                <w:ilvl w:val="0"/>
                <w:numId w:val="19"/>
              </w:numPr>
              <w:suppressAutoHyphens w:val="0"/>
              <w:spacing w:line="276" w:lineRule="auto"/>
              <w:contextualSpacing/>
              <w:rPr>
                <w:rFonts w:ascii="Calibri" w:hAnsi="Calibri" w:cs="Calibri"/>
                <w:color w:val="auto"/>
              </w:rPr>
            </w:pPr>
            <w:r w:rsidRPr="003E0B75">
              <w:rPr>
                <w:rFonts w:ascii="Calibri" w:hAnsi="Calibri" w:cs="Calibri"/>
                <w:color w:val="auto"/>
                <w:sz w:val="22"/>
                <w:szCs w:val="22"/>
              </w:rPr>
              <w:t>Synthesize information on the variables that inform load management and demand response projects including utility rates, climate, facility type, facility usage patterns and occupant satisfaction</w:t>
            </w:r>
          </w:p>
          <w:p w14:paraId="1ACB4113" w14:textId="77777777" w:rsidR="001141BD" w:rsidRDefault="001141BD" w:rsidP="00B157C9">
            <w:pPr>
              <w:pStyle w:val="ListParagraph"/>
              <w:widowControl/>
              <w:numPr>
                <w:ilvl w:val="0"/>
                <w:numId w:val="19"/>
              </w:numPr>
              <w:suppressAutoHyphens w:val="0"/>
              <w:spacing w:line="276" w:lineRule="auto"/>
              <w:contextualSpacing/>
              <w:rPr>
                <w:rFonts w:ascii="Calibri" w:hAnsi="Calibri" w:cs="Calibri"/>
                <w:color w:val="auto"/>
              </w:rPr>
            </w:pPr>
            <w:r w:rsidRPr="003E0B75">
              <w:rPr>
                <w:rFonts w:ascii="Calibri" w:hAnsi="Calibri" w:cs="Calibri"/>
                <w:color w:val="auto"/>
                <w:sz w:val="22"/>
                <w:szCs w:val="22"/>
              </w:rPr>
              <w:t>Evaluate specific facilities for the potential application of various load management and demand response measures</w:t>
            </w:r>
          </w:p>
          <w:p w14:paraId="028C4841" w14:textId="77777777" w:rsidR="001141BD" w:rsidRPr="00B157C9" w:rsidRDefault="001141BD" w:rsidP="00B157C9">
            <w:pPr>
              <w:pStyle w:val="ListParagraph"/>
              <w:widowControl/>
              <w:numPr>
                <w:ilvl w:val="0"/>
                <w:numId w:val="19"/>
              </w:numPr>
              <w:suppressAutoHyphens w:val="0"/>
              <w:spacing w:line="276" w:lineRule="auto"/>
              <w:contextualSpacing/>
              <w:rPr>
                <w:rFonts w:ascii="Calibri" w:hAnsi="Calibri" w:cs="Calibri"/>
                <w:color w:val="auto"/>
              </w:rPr>
            </w:pPr>
            <w:r w:rsidRPr="003E0B75">
              <w:rPr>
                <w:rFonts w:ascii="Calibri" w:hAnsi="Calibri" w:cs="Calibri"/>
                <w:color w:val="auto"/>
                <w:sz w:val="22"/>
                <w:szCs w:val="22"/>
              </w:rPr>
              <w:t xml:space="preserve">Integrate back-up generators and alternative work-force schedules </w:t>
            </w:r>
            <w:r>
              <w:rPr>
                <w:rFonts w:ascii="Calibri" w:hAnsi="Calibri" w:cs="Calibri"/>
                <w:color w:val="auto"/>
                <w:sz w:val="22"/>
                <w:szCs w:val="22"/>
              </w:rPr>
              <w:t>into</w:t>
            </w:r>
            <w:r w:rsidRPr="003E0B75">
              <w:rPr>
                <w:rFonts w:ascii="Calibri" w:hAnsi="Calibri" w:cs="Calibri"/>
                <w:color w:val="auto"/>
                <w:sz w:val="22"/>
                <w:szCs w:val="22"/>
              </w:rPr>
              <w:t xml:space="preserve"> demand response strategies</w:t>
            </w:r>
            <w:r>
              <w:rPr>
                <w:rFonts w:ascii="Calibri" w:hAnsi="Calibri" w:cs="Calibri"/>
                <w:color w:val="auto"/>
                <w:sz w:val="22"/>
                <w:szCs w:val="22"/>
              </w:rPr>
              <w:t xml:space="preserve">, </w:t>
            </w:r>
            <w:proofErr w:type="gramStart"/>
            <w:r>
              <w:rPr>
                <w:rFonts w:ascii="Calibri" w:hAnsi="Calibri" w:cs="Calibri"/>
                <w:color w:val="auto"/>
                <w:sz w:val="22"/>
                <w:szCs w:val="22"/>
              </w:rPr>
              <w:t>and  consider</w:t>
            </w:r>
            <w:proofErr w:type="gramEnd"/>
            <w:r w:rsidRPr="003E0B75">
              <w:rPr>
                <w:rFonts w:ascii="Calibri" w:hAnsi="Calibri" w:cs="Calibri"/>
                <w:color w:val="auto"/>
                <w:sz w:val="22"/>
                <w:szCs w:val="22"/>
              </w:rPr>
              <w:t xml:space="preserve"> the challenges these measures introduce</w:t>
            </w:r>
          </w:p>
          <w:p w14:paraId="5ABC8AA0" w14:textId="77777777" w:rsidR="001141BD" w:rsidRPr="003E0B75" w:rsidRDefault="001141BD" w:rsidP="003E0B75">
            <w:pPr>
              <w:pStyle w:val="ListParagraph"/>
              <w:widowControl/>
              <w:numPr>
                <w:ilvl w:val="0"/>
                <w:numId w:val="19"/>
              </w:numPr>
              <w:suppressAutoHyphens w:val="0"/>
              <w:spacing w:line="276" w:lineRule="auto"/>
              <w:contextualSpacing/>
              <w:rPr>
                <w:rFonts w:ascii="Calibri" w:hAnsi="Calibri" w:cs="Calibri"/>
                <w:color w:val="auto"/>
              </w:rPr>
            </w:pPr>
            <w:r w:rsidRPr="003E0B75">
              <w:rPr>
                <w:rFonts w:ascii="Calibri" w:hAnsi="Calibri" w:cs="Calibri"/>
                <w:color w:val="auto"/>
                <w:sz w:val="22"/>
                <w:szCs w:val="22"/>
              </w:rPr>
              <w:t>Assess the value of automating demand response strategies to speed up response time and eliminate human errors</w:t>
            </w:r>
          </w:p>
        </w:tc>
      </w:tr>
      <w:tr w:rsidR="001141BD" w:rsidRPr="004C5A32" w14:paraId="3C553237" w14:textId="77777777">
        <w:tc>
          <w:tcPr>
            <w:tcW w:w="11016" w:type="dxa"/>
            <w:shd w:val="clear" w:color="auto" w:fill="F2F2F2"/>
            <w:vAlign w:val="center"/>
          </w:tcPr>
          <w:p w14:paraId="5901FD09" w14:textId="77777777" w:rsidR="001141BD" w:rsidRPr="009C4145" w:rsidRDefault="001141BD" w:rsidP="004958FE">
            <w:pPr>
              <w:jc w:val="center"/>
              <w:rPr>
                <w:rFonts w:ascii="Calibri" w:hAnsi="Calibri" w:cs="Calibri"/>
                <w:b/>
                <w:bCs/>
                <w:i/>
                <w:iCs/>
                <w:color w:val="auto"/>
                <w:sz w:val="28"/>
                <w:szCs w:val="28"/>
              </w:rPr>
            </w:pPr>
            <w:r w:rsidRPr="009C4145">
              <w:rPr>
                <w:rFonts w:ascii="Calibri" w:hAnsi="Calibri" w:cs="Calibri"/>
                <w:b/>
                <w:bCs/>
                <w:color w:val="auto"/>
                <w:sz w:val="22"/>
                <w:szCs w:val="22"/>
              </w:rPr>
              <w:t>COURSE TOPICS:</w:t>
            </w:r>
          </w:p>
        </w:tc>
      </w:tr>
      <w:tr w:rsidR="001141BD" w:rsidRPr="004C5A32" w14:paraId="7F2DEA5A" w14:textId="77777777">
        <w:tc>
          <w:tcPr>
            <w:tcW w:w="11016" w:type="dxa"/>
          </w:tcPr>
          <w:p w14:paraId="2B7429B2" w14:textId="77777777" w:rsidR="001141BD" w:rsidRPr="001F211A" w:rsidRDefault="001141BD" w:rsidP="00424CAB">
            <w:pPr>
              <w:pStyle w:val="ListParagraph"/>
              <w:numPr>
                <w:ilvl w:val="0"/>
                <w:numId w:val="22"/>
              </w:numPr>
              <w:rPr>
                <w:rFonts w:ascii="Calibri" w:hAnsi="Calibri" w:cs="Calibri"/>
                <w:color w:val="auto"/>
              </w:rPr>
            </w:pPr>
            <w:r w:rsidRPr="001F211A">
              <w:rPr>
                <w:rFonts w:ascii="Calibri" w:hAnsi="Calibri" w:cs="Calibri"/>
                <w:color w:val="auto"/>
                <w:sz w:val="22"/>
                <w:szCs w:val="22"/>
              </w:rPr>
              <w:t xml:space="preserve">Management and operation of electrical grid  </w:t>
            </w:r>
          </w:p>
          <w:p w14:paraId="2270509B" w14:textId="77777777" w:rsidR="001141BD" w:rsidRPr="001F211A" w:rsidRDefault="001141BD" w:rsidP="004958FE">
            <w:pPr>
              <w:ind w:left="720"/>
              <w:rPr>
                <w:rFonts w:ascii="Calibri" w:hAnsi="Calibri" w:cs="Calibri"/>
                <w:color w:val="auto"/>
              </w:rPr>
            </w:pPr>
            <w:r w:rsidRPr="001F211A">
              <w:rPr>
                <w:rFonts w:ascii="Calibri" w:hAnsi="Calibri" w:cs="Calibri"/>
                <w:color w:val="auto"/>
                <w:sz w:val="22"/>
                <w:szCs w:val="22"/>
              </w:rPr>
              <w:t xml:space="preserve">A.  </w:t>
            </w:r>
            <w:r>
              <w:rPr>
                <w:rFonts w:ascii="Calibri" w:hAnsi="Calibri" w:cs="Calibri"/>
                <w:color w:val="auto"/>
                <w:sz w:val="22"/>
                <w:szCs w:val="22"/>
              </w:rPr>
              <w:t xml:space="preserve"> </w:t>
            </w:r>
            <w:r w:rsidRPr="001F211A">
              <w:rPr>
                <w:rFonts w:ascii="Calibri" w:hAnsi="Calibri" w:cs="Calibri"/>
                <w:color w:val="auto"/>
                <w:sz w:val="22"/>
                <w:szCs w:val="22"/>
              </w:rPr>
              <w:t>Balance of load management strategies</w:t>
            </w:r>
          </w:p>
          <w:p w14:paraId="49D113F6" w14:textId="77777777" w:rsidR="001141BD" w:rsidRPr="001F211A" w:rsidRDefault="001141BD" w:rsidP="004958FE">
            <w:pPr>
              <w:ind w:left="720"/>
              <w:rPr>
                <w:rFonts w:ascii="Calibri" w:hAnsi="Calibri" w:cs="Calibri"/>
                <w:color w:val="auto"/>
              </w:rPr>
            </w:pPr>
            <w:r w:rsidRPr="001F211A">
              <w:rPr>
                <w:rFonts w:ascii="Calibri" w:hAnsi="Calibri" w:cs="Calibri"/>
                <w:color w:val="auto"/>
                <w:sz w:val="22"/>
                <w:szCs w:val="22"/>
              </w:rPr>
              <w:t xml:space="preserve">B.  </w:t>
            </w:r>
            <w:r>
              <w:rPr>
                <w:rFonts w:ascii="Calibri" w:hAnsi="Calibri" w:cs="Calibri"/>
                <w:color w:val="auto"/>
                <w:sz w:val="22"/>
                <w:szCs w:val="22"/>
              </w:rPr>
              <w:t xml:space="preserve"> </w:t>
            </w:r>
            <w:r w:rsidRPr="001F211A">
              <w:rPr>
                <w:rFonts w:ascii="Calibri" w:hAnsi="Calibri" w:cs="Calibri"/>
                <w:color w:val="auto"/>
                <w:sz w:val="22"/>
                <w:szCs w:val="22"/>
              </w:rPr>
              <w:t xml:space="preserve">Role of utilities and California Independent System operator </w:t>
            </w:r>
          </w:p>
          <w:p w14:paraId="74F7B368" w14:textId="77777777" w:rsidR="001141BD" w:rsidRPr="001F211A" w:rsidRDefault="001141BD" w:rsidP="004958FE">
            <w:pPr>
              <w:ind w:left="720"/>
              <w:rPr>
                <w:rFonts w:ascii="Calibri" w:hAnsi="Calibri" w:cs="Calibri"/>
                <w:color w:val="auto"/>
              </w:rPr>
            </w:pPr>
            <w:r w:rsidRPr="001F211A">
              <w:rPr>
                <w:rFonts w:ascii="Calibri" w:hAnsi="Calibri" w:cs="Calibri"/>
                <w:color w:val="auto"/>
                <w:sz w:val="22"/>
                <w:szCs w:val="22"/>
              </w:rPr>
              <w:t xml:space="preserve">C.  </w:t>
            </w:r>
            <w:r>
              <w:rPr>
                <w:rFonts w:ascii="Calibri" w:hAnsi="Calibri" w:cs="Calibri"/>
                <w:color w:val="auto"/>
                <w:sz w:val="22"/>
                <w:szCs w:val="22"/>
              </w:rPr>
              <w:t xml:space="preserve"> </w:t>
            </w:r>
            <w:r w:rsidRPr="001F211A">
              <w:rPr>
                <w:rFonts w:ascii="Calibri" w:hAnsi="Calibri" w:cs="Calibri"/>
                <w:color w:val="auto"/>
                <w:sz w:val="22"/>
                <w:szCs w:val="22"/>
              </w:rPr>
              <w:t>Benefits to California</w:t>
            </w:r>
          </w:p>
          <w:p w14:paraId="5DAAA453" w14:textId="77777777" w:rsidR="001141BD" w:rsidRPr="001F211A" w:rsidRDefault="001141BD" w:rsidP="00424CAB">
            <w:pPr>
              <w:pStyle w:val="ListParagraph"/>
              <w:numPr>
                <w:ilvl w:val="0"/>
                <w:numId w:val="22"/>
              </w:numPr>
              <w:rPr>
                <w:rFonts w:ascii="Calibri" w:hAnsi="Calibri" w:cs="Calibri"/>
                <w:color w:val="auto"/>
              </w:rPr>
            </w:pPr>
            <w:r w:rsidRPr="001F211A">
              <w:rPr>
                <w:rFonts w:ascii="Calibri" w:hAnsi="Calibri" w:cs="Calibri"/>
                <w:color w:val="auto"/>
                <w:sz w:val="22"/>
                <w:szCs w:val="22"/>
              </w:rPr>
              <w:t>Load factor and billing data analysis for Demand Response and Load Shifting</w:t>
            </w:r>
          </w:p>
          <w:p w14:paraId="766EF49E" w14:textId="77777777" w:rsidR="001141BD" w:rsidRPr="001F211A" w:rsidRDefault="001141BD" w:rsidP="00424CAB">
            <w:pPr>
              <w:pStyle w:val="ListParagraph"/>
              <w:numPr>
                <w:ilvl w:val="0"/>
                <w:numId w:val="22"/>
              </w:numPr>
              <w:rPr>
                <w:rFonts w:ascii="Calibri" w:hAnsi="Calibri" w:cs="Calibri"/>
                <w:color w:val="auto"/>
              </w:rPr>
            </w:pPr>
            <w:r w:rsidRPr="001F211A">
              <w:rPr>
                <w:rFonts w:ascii="Calibri" w:hAnsi="Calibri" w:cs="Calibri"/>
                <w:color w:val="auto"/>
                <w:sz w:val="22"/>
                <w:szCs w:val="22"/>
              </w:rPr>
              <w:t>Implementation issues, benefits and challenges of various demand response strategies:</w:t>
            </w:r>
          </w:p>
          <w:p w14:paraId="19AB43E4"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 xml:space="preserve">Global temperature adjustment </w:t>
            </w:r>
          </w:p>
          <w:p w14:paraId="5A584A48"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Supply air temperature increase</w:t>
            </w:r>
          </w:p>
          <w:p w14:paraId="08269ECD"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Chilled water temperature increase</w:t>
            </w:r>
          </w:p>
          <w:p w14:paraId="4CA6CE80"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Cooling valve limit</w:t>
            </w:r>
          </w:p>
          <w:p w14:paraId="364CEEE6"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Duct static pressure decrease</w:t>
            </w:r>
          </w:p>
          <w:p w14:paraId="4075C4B2"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AC cycling controllers</w:t>
            </w:r>
          </w:p>
          <w:p w14:paraId="0107C406"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Chiller demand limit</w:t>
            </w:r>
          </w:p>
          <w:p w14:paraId="21F7C81D"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Fan VFD limit</w:t>
            </w:r>
          </w:p>
          <w:p w14:paraId="39C4C146"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Fan quantity reduction</w:t>
            </w:r>
          </w:p>
          <w:p w14:paraId="4C377D5F"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Turn off lights in specific zones</w:t>
            </w:r>
          </w:p>
          <w:p w14:paraId="07D18D11"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Dimmable ballasts</w:t>
            </w:r>
          </w:p>
          <w:p w14:paraId="0D1D79B4"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Stepped or bi-level lighting controls</w:t>
            </w:r>
          </w:p>
          <w:p w14:paraId="3ED2AE88"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Addressing miscellaneous equipment</w:t>
            </w:r>
          </w:p>
          <w:p w14:paraId="337E5D77" w14:textId="77777777" w:rsidR="001141BD" w:rsidRPr="001F211A" w:rsidRDefault="001141BD" w:rsidP="00424CAB">
            <w:pPr>
              <w:pStyle w:val="ListParagraph"/>
              <w:numPr>
                <w:ilvl w:val="0"/>
                <w:numId w:val="34"/>
              </w:numPr>
              <w:rPr>
                <w:rFonts w:ascii="Calibri" w:hAnsi="Calibri" w:cs="Calibri"/>
                <w:color w:val="auto"/>
              </w:rPr>
            </w:pPr>
            <w:r w:rsidRPr="001F211A">
              <w:rPr>
                <w:rFonts w:ascii="Calibri" w:hAnsi="Calibri" w:cs="Calibri"/>
                <w:color w:val="auto"/>
                <w:sz w:val="22"/>
                <w:szCs w:val="22"/>
              </w:rPr>
              <w:t>Alternative work schedules</w:t>
            </w:r>
          </w:p>
          <w:p w14:paraId="11D471B4" w14:textId="77777777" w:rsidR="001141BD" w:rsidRPr="001F211A" w:rsidRDefault="001141BD" w:rsidP="00E8724E">
            <w:pPr>
              <w:pStyle w:val="ListParagraph"/>
              <w:numPr>
                <w:ilvl w:val="0"/>
                <w:numId w:val="34"/>
              </w:numPr>
              <w:rPr>
                <w:rFonts w:ascii="Calibri" w:hAnsi="Calibri" w:cs="Calibri"/>
                <w:color w:val="auto"/>
              </w:rPr>
            </w:pPr>
            <w:r w:rsidRPr="001F211A">
              <w:rPr>
                <w:rFonts w:ascii="Calibri" w:hAnsi="Calibri" w:cs="Calibri"/>
                <w:color w:val="auto"/>
                <w:sz w:val="22"/>
                <w:szCs w:val="22"/>
              </w:rPr>
              <w:t>Demand limit strategy</w:t>
            </w:r>
          </w:p>
          <w:p w14:paraId="1E1AC735" w14:textId="77777777" w:rsidR="001141BD" w:rsidRPr="001F211A" w:rsidRDefault="001141BD" w:rsidP="00E8724E">
            <w:pPr>
              <w:pStyle w:val="ListParagraph"/>
              <w:numPr>
                <w:ilvl w:val="0"/>
                <w:numId w:val="22"/>
              </w:numPr>
              <w:rPr>
                <w:rFonts w:ascii="Calibri" w:hAnsi="Calibri" w:cs="Calibri"/>
                <w:color w:val="auto"/>
              </w:rPr>
            </w:pPr>
            <w:r w:rsidRPr="001F211A">
              <w:rPr>
                <w:rFonts w:ascii="Calibri" w:hAnsi="Calibri" w:cs="Calibri"/>
                <w:color w:val="auto"/>
                <w:sz w:val="22"/>
                <w:szCs w:val="22"/>
              </w:rPr>
              <w:t>Peak Load shedding or shifting</w:t>
            </w:r>
          </w:p>
          <w:p w14:paraId="0458F44E" w14:textId="77777777" w:rsidR="001141BD" w:rsidRPr="001F211A" w:rsidRDefault="001141BD" w:rsidP="007915CA">
            <w:pPr>
              <w:pStyle w:val="ListParagraph"/>
              <w:numPr>
                <w:ilvl w:val="0"/>
                <w:numId w:val="37"/>
              </w:numPr>
              <w:rPr>
                <w:rFonts w:ascii="Calibri" w:hAnsi="Calibri" w:cs="Calibri"/>
                <w:color w:val="auto"/>
              </w:rPr>
            </w:pPr>
            <w:proofErr w:type="spellStart"/>
            <w:r w:rsidRPr="001F211A">
              <w:rPr>
                <w:rFonts w:ascii="Calibri" w:hAnsi="Calibri" w:cs="Calibri"/>
                <w:color w:val="auto"/>
                <w:sz w:val="22"/>
                <w:szCs w:val="22"/>
              </w:rPr>
              <w:t>Daylighting</w:t>
            </w:r>
            <w:proofErr w:type="spellEnd"/>
            <w:r w:rsidRPr="001F211A">
              <w:rPr>
                <w:rFonts w:ascii="Calibri" w:hAnsi="Calibri" w:cs="Calibri"/>
                <w:color w:val="auto"/>
                <w:sz w:val="22"/>
                <w:szCs w:val="22"/>
              </w:rPr>
              <w:t xml:space="preserve"> controls</w:t>
            </w:r>
          </w:p>
          <w:p w14:paraId="63A102B7" w14:textId="77777777" w:rsidR="001141BD" w:rsidRPr="001F211A" w:rsidRDefault="001141BD" w:rsidP="007915CA">
            <w:pPr>
              <w:pStyle w:val="ListParagraph"/>
              <w:numPr>
                <w:ilvl w:val="0"/>
                <w:numId w:val="37"/>
              </w:numPr>
              <w:rPr>
                <w:rFonts w:ascii="Calibri" w:hAnsi="Calibri" w:cs="Calibri"/>
                <w:color w:val="auto"/>
              </w:rPr>
            </w:pPr>
            <w:r w:rsidRPr="001F211A">
              <w:rPr>
                <w:rFonts w:ascii="Calibri" w:hAnsi="Calibri" w:cs="Calibri"/>
                <w:color w:val="auto"/>
                <w:sz w:val="22"/>
                <w:szCs w:val="22"/>
              </w:rPr>
              <w:t>Thermal storage</w:t>
            </w:r>
          </w:p>
          <w:p w14:paraId="32F21108" w14:textId="77777777" w:rsidR="001141BD" w:rsidRPr="001F211A" w:rsidRDefault="001141BD" w:rsidP="007915CA">
            <w:pPr>
              <w:pStyle w:val="ListParagraph"/>
              <w:numPr>
                <w:ilvl w:val="0"/>
                <w:numId w:val="38"/>
              </w:numPr>
              <w:rPr>
                <w:rFonts w:ascii="Calibri" w:hAnsi="Calibri" w:cs="Calibri"/>
                <w:color w:val="auto"/>
              </w:rPr>
            </w:pPr>
            <w:r w:rsidRPr="001F211A">
              <w:rPr>
                <w:rFonts w:ascii="Calibri" w:hAnsi="Calibri" w:cs="Calibri"/>
                <w:color w:val="auto"/>
                <w:sz w:val="22"/>
                <w:szCs w:val="22"/>
              </w:rPr>
              <w:lastRenderedPageBreak/>
              <w:t>Chilled water</w:t>
            </w:r>
          </w:p>
          <w:p w14:paraId="0B841EA0" w14:textId="77777777" w:rsidR="001141BD" w:rsidRPr="001F211A" w:rsidRDefault="001141BD" w:rsidP="007915CA">
            <w:pPr>
              <w:pStyle w:val="ListParagraph"/>
              <w:numPr>
                <w:ilvl w:val="0"/>
                <w:numId w:val="38"/>
              </w:numPr>
              <w:rPr>
                <w:rFonts w:ascii="Calibri" w:hAnsi="Calibri" w:cs="Calibri"/>
                <w:color w:val="auto"/>
              </w:rPr>
            </w:pPr>
            <w:r w:rsidRPr="001F211A">
              <w:rPr>
                <w:rFonts w:ascii="Calibri" w:hAnsi="Calibri" w:cs="Calibri"/>
                <w:color w:val="auto"/>
                <w:sz w:val="22"/>
                <w:szCs w:val="22"/>
              </w:rPr>
              <w:t>Ice</w:t>
            </w:r>
          </w:p>
          <w:p w14:paraId="669794DF" w14:textId="77777777" w:rsidR="001141BD" w:rsidRPr="001F211A" w:rsidRDefault="001141BD" w:rsidP="007915CA">
            <w:pPr>
              <w:pStyle w:val="ListParagraph"/>
              <w:numPr>
                <w:ilvl w:val="0"/>
                <w:numId w:val="38"/>
              </w:numPr>
              <w:rPr>
                <w:rFonts w:ascii="Calibri" w:hAnsi="Calibri" w:cs="Calibri"/>
                <w:color w:val="auto"/>
              </w:rPr>
            </w:pPr>
            <w:r w:rsidRPr="001F211A">
              <w:rPr>
                <w:rFonts w:ascii="Calibri" w:hAnsi="Calibri" w:cs="Calibri"/>
                <w:color w:val="auto"/>
                <w:sz w:val="22"/>
                <w:szCs w:val="22"/>
              </w:rPr>
              <w:t>Solid materials</w:t>
            </w:r>
          </w:p>
          <w:p w14:paraId="60372A6B" w14:textId="77777777" w:rsidR="001141BD" w:rsidRPr="001F211A" w:rsidRDefault="001141BD" w:rsidP="007915CA">
            <w:pPr>
              <w:pStyle w:val="ListParagraph"/>
              <w:numPr>
                <w:ilvl w:val="0"/>
                <w:numId w:val="38"/>
              </w:numPr>
              <w:rPr>
                <w:rFonts w:ascii="Calibri" w:hAnsi="Calibri" w:cs="Calibri"/>
                <w:color w:val="auto"/>
              </w:rPr>
            </w:pPr>
            <w:r w:rsidRPr="001F211A">
              <w:rPr>
                <w:rFonts w:ascii="Calibri" w:hAnsi="Calibri" w:cs="Calibri"/>
                <w:color w:val="auto"/>
                <w:sz w:val="22"/>
                <w:szCs w:val="22"/>
              </w:rPr>
              <w:t>Phase-change materials</w:t>
            </w:r>
          </w:p>
          <w:p w14:paraId="3F632AEE" w14:textId="77777777" w:rsidR="001141BD" w:rsidRPr="001F211A" w:rsidRDefault="001141BD" w:rsidP="007915CA">
            <w:pPr>
              <w:pStyle w:val="ListParagraph"/>
              <w:numPr>
                <w:ilvl w:val="0"/>
                <w:numId w:val="38"/>
              </w:numPr>
              <w:rPr>
                <w:rFonts w:ascii="Calibri" w:hAnsi="Calibri" w:cs="Calibri"/>
                <w:color w:val="auto"/>
              </w:rPr>
            </w:pPr>
            <w:r w:rsidRPr="001F211A">
              <w:rPr>
                <w:rFonts w:ascii="Calibri" w:hAnsi="Calibri" w:cs="Calibri"/>
                <w:color w:val="auto"/>
                <w:sz w:val="22"/>
                <w:szCs w:val="22"/>
              </w:rPr>
              <w:t>Chemical storage</w:t>
            </w:r>
          </w:p>
          <w:p w14:paraId="5A72C10E" w14:textId="77777777" w:rsidR="001141BD" w:rsidRPr="001F211A" w:rsidRDefault="001141BD" w:rsidP="007915CA">
            <w:pPr>
              <w:pStyle w:val="ListParagraph"/>
              <w:numPr>
                <w:ilvl w:val="0"/>
                <w:numId w:val="37"/>
              </w:numPr>
              <w:rPr>
                <w:rFonts w:ascii="Calibri" w:hAnsi="Calibri" w:cs="Calibri"/>
                <w:color w:val="auto"/>
              </w:rPr>
            </w:pPr>
            <w:r w:rsidRPr="001F211A">
              <w:rPr>
                <w:rFonts w:ascii="Calibri" w:hAnsi="Calibri" w:cs="Calibri"/>
                <w:color w:val="auto"/>
                <w:sz w:val="22"/>
                <w:szCs w:val="22"/>
              </w:rPr>
              <w:t>Night flushing/pre-cooling</w:t>
            </w:r>
          </w:p>
          <w:p w14:paraId="7F6512B2" w14:textId="77777777" w:rsidR="001141BD" w:rsidRPr="001F211A" w:rsidRDefault="001141BD" w:rsidP="007915CA">
            <w:pPr>
              <w:pStyle w:val="ListParagraph"/>
              <w:numPr>
                <w:ilvl w:val="0"/>
                <w:numId w:val="37"/>
              </w:numPr>
              <w:rPr>
                <w:rFonts w:ascii="Calibri" w:hAnsi="Calibri" w:cs="Calibri"/>
                <w:color w:val="auto"/>
              </w:rPr>
            </w:pPr>
            <w:r w:rsidRPr="001F211A">
              <w:rPr>
                <w:rFonts w:ascii="Calibri" w:hAnsi="Calibri" w:cs="Calibri"/>
                <w:color w:val="auto"/>
                <w:sz w:val="22"/>
                <w:szCs w:val="22"/>
              </w:rPr>
              <w:t>Equipment charging</w:t>
            </w:r>
          </w:p>
          <w:p w14:paraId="638B23FC" w14:textId="77777777" w:rsidR="001141BD" w:rsidRPr="001F211A" w:rsidRDefault="001141BD" w:rsidP="007915CA">
            <w:pPr>
              <w:pStyle w:val="ListParagraph"/>
              <w:numPr>
                <w:ilvl w:val="0"/>
                <w:numId w:val="22"/>
              </w:numPr>
              <w:rPr>
                <w:rFonts w:ascii="Calibri" w:hAnsi="Calibri" w:cs="Calibri"/>
                <w:color w:val="auto"/>
              </w:rPr>
            </w:pPr>
            <w:r w:rsidRPr="001F211A">
              <w:rPr>
                <w:rFonts w:ascii="Calibri" w:hAnsi="Calibri" w:cs="Calibri"/>
                <w:color w:val="auto"/>
                <w:sz w:val="22"/>
                <w:szCs w:val="22"/>
              </w:rPr>
              <w:t>Back-up generation and co-generation</w:t>
            </w:r>
          </w:p>
          <w:p w14:paraId="6BF054FC" w14:textId="77777777" w:rsidR="001141BD" w:rsidRPr="001F211A" w:rsidRDefault="001141BD" w:rsidP="007915CA">
            <w:pPr>
              <w:pStyle w:val="ListParagraph"/>
              <w:numPr>
                <w:ilvl w:val="0"/>
                <w:numId w:val="39"/>
              </w:numPr>
              <w:rPr>
                <w:rFonts w:ascii="Calibri" w:hAnsi="Calibri" w:cs="Calibri"/>
                <w:color w:val="auto"/>
              </w:rPr>
            </w:pPr>
            <w:r w:rsidRPr="001F211A">
              <w:rPr>
                <w:rFonts w:ascii="Calibri" w:hAnsi="Calibri" w:cs="Calibri"/>
                <w:color w:val="auto"/>
                <w:sz w:val="22"/>
                <w:szCs w:val="22"/>
              </w:rPr>
              <w:t>Applications</w:t>
            </w:r>
          </w:p>
          <w:p w14:paraId="7DF92A99" w14:textId="77777777" w:rsidR="001141BD" w:rsidRPr="001F211A" w:rsidRDefault="001141BD" w:rsidP="007915CA">
            <w:pPr>
              <w:pStyle w:val="ListParagraph"/>
              <w:numPr>
                <w:ilvl w:val="0"/>
                <w:numId w:val="39"/>
              </w:numPr>
              <w:rPr>
                <w:rFonts w:ascii="Calibri" w:hAnsi="Calibri" w:cs="Calibri"/>
                <w:color w:val="auto"/>
              </w:rPr>
            </w:pPr>
            <w:r w:rsidRPr="001F211A">
              <w:rPr>
                <w:rFonts w:ascii="Calibri" w:hAnsi="Calibri" w:cs="Calibri"/>
                <w:color w:val="auto"/>
                <w:sz w:val="22"/>
                <w:szCs w:val="22"/>
              </w:rPr>
              <w:t>System integration issues</w:t>
            </w:r>
          </w:p>
          <w:p w14:paraId="5AE434E1" w14:textId="77777777" w:rsidR="001141BD" w:rsidRPr="001F211A" w:rsidRDefault="001141BD" w:rsidP="007915CA">
            <w:pPr>
              <w:pStyle w:val="ListParagraph"/>
              <w:numPr>
                <w:ilvl w:val="0"/>
                <w:numId w:val="39"/>
              </w:numPr>
              <w:rPr>
                <w:rFonts w:ascii="Calibri" w:hAnsi="Calibri" w:cs="Calibri"/>
                <w:color w:val="auto"/>
              </w:rPr>
            </w:pPr>
            <w:r w:rsidRPr="001F211A">
              <w:rPr>
                <w:rFonts w:ascii="Calibri" w:hAnsi="Calibri" w:cs="Calibri"/>
                <w:color w:val="auto"/>
                <w:sz w:val="22"/>
                <w:szCs w:val="22"/>
              </w:rPr>
              <w:t>Air quality regulations</w:t>
            </w:r>
          </w:p>
          <w:p w14:paraId="7FCD7AF8" w14:textId="77777777" w:rsidR="001141BD" w:rsidRPr="001F211A" w:rsidRDefault="001141BD" w:rsidP="007915CA">
            <w:pPr>
              <w:pStyle w:val="ListParagraph"/>
              <w:numPr>
                <w:ilvl w:val="0"/>
                <w:numId w:val="22"/>
              </w:numPr>
              <w:rPr>
                <w:rFonts w:ascii="Calibri" w:hAnsi="Calibri" w:cs="Calibri"/>
                <w:color w:val="auto"/>
              </w:rPr>
            </w:pPr>
            <w:r w:rsidRPr="001F211A">
              <w:rPr>
                <w:rFonts w:ascii="Calibri" w:hAnsi="Calibri" w:cs="Calibri"/>
                <w:color w:val="auto"/>
                <w:sz w:val="22"/>
                <w:szCs w:val="22"/>
              </w:rPr>
              <w:t>Commissioning of load management systems</w:t>
            </w:r>
          </w:p>
          <w:p w14:paraId="08F37721" w14:textId="77777777" w:rsidR="001141BD" w:rsidRPr="00E8724E" w:rsidRDefault="001141BD" w:rsidP="007915CA">
            <w:pPr>
              <w:pStyle w:val="ListParagraph"/>
              <w:numPr>
                <w:ilvl w:val="0"/>
                <w:numId w:val="22"/>
              </w:numPr>
              <w:rPr>
                <w:rFonts w:ascii="Calibri" w:hAnsi="Calibri" w:cs="Calibri"/>
                <w:color w:val="auto"/>
              </w:rPr>
            </w:pPr>
            <w:r w:rsidRPr="001F211A">
              <w:rPr>
                <w:rFonts w:ascii="Calibri" w:hAnsi="Calibri" w:cs="Calibri"/>
                <w:color w:val="auto"/>
                <w:sz w:val="22"/>
                <w:szCs w:val="22"/>
              </w:rPr>
              <w:t>Utility pricing signals and auto demand response</w:t>
            </w:r>
          </w:p>
        </w:tc>
      </w:tr>
      <w:tr w:rsidR="001141BD" w:rsidRPr="004C5A32" w14:paraId="37A93F07" w14:textId="77777777">
        <w:tc>
          <w:tcPr>
            <w:tcW w:w="11016" w:type="dxa"/>
            <w:shd w:val="clear" w:color="auto" w:fill="F2F2F2"/>
            <w:vAlign w:val="center"/>
          </w:tcPr>
          <w:p w14:paraId="1F8475D5" w14:textId="77777777" w:rsidR="001141BD" w:rsidRPr="0046372D" w:rsidRDefault="001141BD" w:rsidP="004958FE">
            <w:pPr>
              <w:jc w:val="center"/>
              <w:rPr>
                <w:rFonts w:ascii="Calibri" w:hAnsi="Calibri" w:cs="Calibri"/>
                <w:b/>
                <w:bCs/>
                <w:i/>
                <w:iCs/>
                <w:color w:val="auto"/>
                <w:sz w:val="28"/>
                <w:szCs w:val="28"/>
              </w:rPr>
            </w:pPr>
            <w:r w:rsidRPr="0046372D">
              <w:rPr>
                <w:rFonts w:ascii="Calibri" w:hAnsi="Calibri" w:cs="Calibri"/>
                <w:b/>
                <w:bCs/>
                <w:i/>
                <w:iCs/>
                <w:color w:val="auto"/>
                <w:sz w:val="28"/>
                <w:szCs w:val="28"/>
              </w:rPr>
              <w:lastRenderedPageBreak/>
              <w:t xml:space="preserve"> </w:t>
            </w:r>
            <w:r w:rsidRPr="0046372D">
              <w:rPr>
                <w:rFonts w:ascii="Calibri" w:hAnsi="Calibri" w:cs="Calibri"/>
                <w:b/>
                <w:bCs/>
                <w:color w:val="auto"/>
                <w:sz w:val="22"/>
                <w:szCs w:val="22"/>
              </w:rPr>
              <w:t>TYPES OF ASSIGNMENTS:</w:t>
            </w:r>
          </w:p>
        </w:tc>
      </w:tr>
      <w:tr w:rsidR="001141BD" w:rsidRPr="004C5A32" w14:paraId="19CD03B4" w14:textId="77777777">
        <w:tc>
          <w:tcPr>
            <w:tcW w:w="11016" w:type="dxa"/>
          </w:tcPr>
          <w:p w14:paraId="72E3B06E"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Calculate a facility load factor using smart meter data and determine if load factor is appropriate for facility type</w:t>
            </w:r>
          </w:p>
          <w:p w14:paraId="23F45157"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Use smart meter data to predict the benefit of specific load shifting and demand response measures</w:t>
            </w:r>
          </w:p>
          <w:p w14:paraId="6EE1474D"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Identify appropriate demand response and load shifting strategies for an actual facility</w:t>
            </w:r>
          </w:p>
          <w:p w14:paraId="537946DD"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Calculate the financial benefit of DR strategies for a specific facility using information on load profiles and utility rates for said facility</w:t>
            </w:r>
          </w:p>
          <w:p w14:paraId="6EA069B8"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Calculate the financial benefit of thermal storage or other load shifting strategies for a specific</w:t>
            </w:r>
            <w:r>
              <w:rPr>
                <w:rFonts w:ascii="Calibri" w:hAnsi="Calibri" w:cs="Calibri"/>
                <w:color w:val="auto"/>
                <w:sz w:val="22"/>
                <w:szCs w:val="22"/>
              </w:rPr>
              <w:t xml:space="preserve"> </w:t>
            </w:r>
            <w:r w:rsidRPr="0046372D">
              <w:rPr>
                <w:rFonts w:ascii="Calibri" w:hAnsi="Calibri" w:cs="Calibri"/>
                <w:color w:val="auto"/>
                <w:sz w:val="22"/>
                <w:szCs w:val="22"/>
              </w:rPr>
              <w:t>facility using information on load profiles and utility rates for said facility</w:t>
            </w:r>
          </w:p>
          <w:p w14:paraId="1B04A517"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Develop a proposal for a utility rate that will encourage voluntary demand response in an equitable way</w:t>
            </w:r>
          </w:p>
          <w:p w14:paraId="1C3E36E7" w14:textId="77777777" w:rsidR="001141BD" w:rsidRPr="0046372D" w:rsidRDefault="001141BD" w:rsidP="009C4082">
            <w:pPr>
              <w:pStyle w:val="ListParagraph"/>
              <w:numPr>
                <w:ilvl w:val="0"/>
                <w:numId w:val="33"/>
              </w:numPr>
              <w:tabs>
                <w:tab w:val="left" w:pos="720"/>
              </w:tabs>
              <w:rPr>
                <w:rFonts w:ascii="Calibri" w:hAnsi="Calibri" w:cs="Calibri"/>
                <w:color w:val="auto"/>
              </w:rPr>
            </w:pPr>
            <w:r w:rsidRPr="0046372D">
              <w:rPr>
                <w:rFonts w:ascii="Calibri" w:hAnsi="Calibri" w:cs="Calibri"/>
                <w:color w:val="auto"/>
                <w:sz w:val="22"/>
                <w:szCs w:val="22"/>
              </w:rPr>
              <w:t>Develop a report on an emerging demand response or load shifting technology or a novel implementation of existing demand response or load shifting technologies</w:t>
            </w:r>
          </w:p>
        </w:tc>
      </w:tr>
      <w:tr w:rsidR="001141BD" w:rsidRPr="004C5A32" w14:paraId="365F2C8C" w14:textId="77777777">
        <w:tc>
          <w:tcPr>
            <w:tcW w:w="11016" w:type="dxa"/>
            <w:shd w:val="clear" w:color="auto" w:fill="F2F2F2"/>
            <w:vAlign w:val="center"/>
          </w:tcPr>
          <w:p w14:paraId="6913C450" w14:textId="77777777" w:rsidR="001141BD" w:rsidRPr="008C5B78" w:rsidRDefault="001141BD" w:rsidP="004958FE">
            <w:pPr>
              <w:jc w:val="center"/>
              <w:rPr>
                <w:rFonts w:ascii="Calibri" w:hAnsi="Calibri" w:cs="Calibri"/>
                <w:b/>
                <w:bCs/>
                <w:i/>
                <w:iCs/>
                <w:color w:val="auto"/>
              </w:rPr>
            </w:pPr>
            <w:r w:rsidRPr="008C5B78">
              <w:rPr>
                <w:rFonts w:ascii="Calibri" w:hAnsi="Calibri" w:cs="Calibri"/>
                <w:b/>
                <w:bCs/>
                <w:color w:val="auto"/>
                <w:sz w:val="22"/>
                <w:szCs w:val="22"/>
              </w:rPr>
              <w:t>TEXTBOOKS &amp; RESOURCES:</w:t>
            </w:r>
          </w:p>
        </w:tc>
      </w:tr>
      <w:tr w:rsidR="001141BD" w:rsidRPr="004C5A32" w14:paraId="3FCA954E" w14:textId="77777777">
        <w:tc>
          <w:tcPr>
            <w:tcW w:w="11016" w:type="dxa"/>
            <w:vAlign w:val="center"/>
          </w:tcPr>
          <w:p w14:paraId="7C3CB785" w14:textId="77777777" w:rsidR="001141BD" w:rsidRPr="006A497B" w:rsidRDefault="001141BD" w:rsidP="00537B33">
            <w:pPr>
              <w:pStyle w:val="ListParagraph"/>
              <w:numPr>
                <w:ilvl w:val="0"/>
                <w:numId w:val="21"/>
              </w:numPr>
              <w:rPr>
                <w:rFonts w:ascii="Calibri" w:hAnsi="Calibri" w:cs="Calibri"/>
                <w:color w:val="auto"/>
              </w:rPr>
            </w:pPr>
            <w:r w:rsidRPr="006A497B">
              <w:rPr>
                <w:rFonts w:ascii="Calibri" w:hAnsi="Calibri" w:cs="Calibri"/>
                <w:color w:val="auto"/>
                <w:sz w:val="22"/>
                <w:szCs w:val="22"/>
              </w:rPr>
              <w:t>Websites such as</w:t>
            </w:r>
            <w:proofErr w:type="gramStart"/>
            <w:r w:rsidRPr="006A497B">
              <w:rPr>
                <w:rFonts w:ascii="Calibri" w:hAnsi="Calibri" w:cs="Calibri"/>
                <w:color w:val="auto"/>
                <w:sz w:val="22"/>
                <w:szCs w:val="22"/>
              </w:rPr>
              <w:t xml:space="preserve">:  </w:t>
            </w:r>
            <w:proofErr w:type="gramEnd"/>
            <w:r w:rsidRPr="006A497B">
              <w:rPr>
                <w:rFonts w:ascii="Calibri" w:hAnsi="Calibri" w:cs="Calibri"/>
                <w:color w:val="auto"/>
                <w:sz w:val="22"/>
                <w:szCs w:val="22"/>
              </w:rPr>
              <w:br/>
              <w:t>Demand Response Research Center - http://drrc.lbl.gov</w:t>
            </w:r>
            <w:r w:rsidRPr="006A497B">
              <w:rPr>
                <w:rFonts w:ascii="Calibri" w:hAnsi="Calibri" w:cs="Calibri"/>
                <w:color w:val="auto"/>
                <w:sz w:val="22"/>
                <w:szCs w:val="22"/>
              </w:rPr>
              <w:br/>
              <w:t>California Independent System Operator - http://www.caiso.com</w:t>
            </w:r>
            <w:r w:rsidRPr="006A497B">
              <w:rPr>
                <w:rFonts w:ascii="Calibri" w:hAnsi="Calibri" w:cs="Calibri"/>
                <w:color w:val="auto"/>
                <w:sz w:val="22"/>
                <w:szCs w:val="22"/>
              </w:rPr>
              <w:br/>
              <w:t xml:space="preserve">PG&amp;E Demand Response - http://www.pge.com/mybusiness/energysavingsrebates/demandresponse </w:t>
            </w:r>
            <w:r w:rsidRPr="006A497B">
              <w:rPr>
                <w:rFonts w:ascii="Calibri" w:hAnsi="Calibri" w:cs="Calibri"/>
                <w:color w:val="auto"/>
                <w:sz w:val="22"/>
                <w:szCs w:val="22"/>
              </w:rPr>
              <w:br/>
              <w:t>PG&amp;E Demand Response - Time-Varying Pricing - http://www.pge.com/mybusiness/energysavingsrebates/timevaryingpricing</w:t>
            </w:r>
            <w:r w:rsidRPr="006A497B">
              <w:rPr>
                <w:rFonts w:ascii="Calibri" w:hAnsi="Calibri" w:cs="Calibri"/>
                <w:color w:val="auto"/>
                <w:sz w:val="22"/>
                <w:szCs w:val="22"/>
              </w:rPr>
              <w:br/>
            </w:r>
            <w:proofErr w:type="spellStart"/>
            <w:r w:rsidRPr="006A497B">
              <w:rPr>
                <w:rFonts w:ascii="Calibri" w:hAnsi="Calibri" w:cs="Calibri"/>
                <w:color w:val="auto"/>
                <w:sz w:val="22"/>
                <w:szCs w:val="22"/>
              </w:rPr>
              <w:t>CalMac</w:t>
            </w:r>
            <w:proofErr w:type="spellEnd"/>
            <w:r w:rsidRPr="006A497B">
              <w:rPr>
                <w:rFonts w:ascii="Calibri" w:hAnsi="Calibri" w:cs="Calibri"/>
                <w:color w:val="auto"/>
                <w:sz w:val="22"/>
                <w:szCs w:val="22"/>
              </w:rPr>
              <w:t xml:space="preserve"> thermal storage systems - http://www.calmac.com </w:t>
            </w:r>
            <w:r w:rsidRPr="006A497B">
              <w:rPr>
                <w:rFonts w:ascii="Calibri" w:hAnsi="Calibri" w:cs="Calibri"/>
                <w:color w:val="auto"/>
                <w:sz w:val="22"/>
                <w:szCs w:val="22"/>
              </w:rPr>
              <w:br/>
              <w:t xml:space="preserve">Austin Energy thermal storage program - </w:t>
            </w:r>
            <w:r w:rsidRPr="006A497B">
              <w:rPr>
                <w:rFonts w:ascii="Calibri" w:hAnsi="Calibri" w:cs="Calibri"/>
                <w:color w:val="auto"/>
                <w:sz w:val="22"/>
                <w:szCs w:val="22"/>
              </w:rPr>
              <w:br/>
              <w:t>http://www.austinenergy.com/energy%20efficiency</w:t>
            </w:r>
            <w:r w:rsidRPr="006A497B">
              <w:rPr>
                <w:color w:val="auto"/>
                <w:sz w:val="22"/>
                <w:szCs w:val="22"/>
              </w:rPr>
              <w:t xml:space="preserve"> </w:t>
            </w:r>
            <w:r w:rsidRPr="006A497B">
              <w:rPr>
                <w:rFonts w:ascii="Calibri" w:hAnsi="Calibri" w:cs="Calibri"/>
                <w:color w:val="auto"/>
                <w:sz w:val="22"/>
                <w:szCs w:val="22"/>
              </w:rPr>
              <w:t>/Programs/Rebates/Commercial/Commercial%20Energy/thermalEnergyStorage.htm</w:t>
            </w:r>
            <w:r w:rsidRPr="006A497B">
              <w:rPr>
                <w:rFonts w:ascii="Calibri" w:hAnsi="Calibri" w:cs="Calibri"/>
                <w:color w:val="auto"/>
                <w:sz w:val="22"/>
                <w:szCs w:val="22"/>
              </w:rPr>
              <w:br/>
              <w:t>Smaller, Closer, Dirtier: Diesel Backup Generators in California - http://www.edf.org/sites/default/files/2272_BUGsreport_0.pdf</w:t>
            </w:r>
          </w:p>
          <w:p w14:paraId="40596027" w14:textId="77777777" w:rsidR="001141BD" w:rsidRPr="008C5B78" w:rsidRDefault="001141BD" w:rsidP="001F47BC">
            <w:pPr>
              <w:pStyle w:val="ListParagraph"/>
              <w:numPr>
                <w:ilvl w:val="0"/>
                <w:numId w:val="21"/>
              </w:numPr>
              <w:rPr>
                <w:rFonts w:ascii="Calibri" w:hAnsi="Calibri" w:cs="Calibri"/>
                <w:color w:val="auto"/>
                <w:sz w:val="18"/>
                <w:szCs w:val="18"/>
              </w:rPr>
            </w:pPr>
            <w:r w:rsidRPr="006A497B">
              <w:rPr>
                <w:rFonts w:ascii="Calibri" w:hAnsi="Calibri" w:cs="Calibri"/>
                <w:color w:val="auto"/>
                <w:sz w:val="22"/>
                <w:szCs w:val="22"/>
              </w:rPr>
              <w:t>Field trips:</w:t>
            </w:r>
            <w:r w:rsidRPr="006A497B">
              <w:rPr>
                <w:rFonts w:ascii="Calibri" w:hAnsi="Calibri" w:cs="Calibri"/>
                <w:color w:val="auto"/>
                <w:sz w:val="22"/>
                <w:szCs w:val="22"/>
              </w:rPr>
              <w:br/>
              <w:t>Offices of California Independent System Operator</w:t>
            </w:r>
            <w:r w:rsidRPr="006A497B">
              <w:rPr>
                <w:rFonts w:ascii="Calibri" w:hAnsi="Calibri" w:cs="Calibri"/>
                <w:color w:val="auto"/>
                <w:sz w:val="22"/>
                <w:szCs w:val="22"/>
              </w:rPr>
              <w:br/>
              <w:t>Facility with Auto-DR systems implemented</w:t>
            </w:r>
            <w:r w:rsidRPr="006A497B">
              <w:rPr>
                <w:rFonts w:ascii="Calibri" w:hAnsi="Calibri" w:cs="Calibri"/>
                <w:color w:val="auto"/>
                <w:sz w:val="22"/>
                <w:szCs w:val="22"/>
              </w:rPr>
              <w:br/>
              <w:t>Facility with thermal storage systems implemented</w:t>
            </w:r>
            <w:r w:rsidRPr="006A497B">
              <w:rPr>
                <w:rFonts w:ascii="Calibri" w:hAnsi="Calibri" w:cs="Calibri"/>
                <w:color w:val="auto"/>
                <w:sz w:val="22"/>
                <w:szCs w:val="22"/>
              </w:rPr>
              <w:br/>
              <w:t>Facilities for students to analyze where load management and demand response may be beneficial</w:t>
            </w:r>
          </w:p>
        </w:tc>
      </w:tr>
    </w:tbl>
    <w:p w14:paraId="59CEA2B5" w14:textId="77777777" w:rsidR="001141BD" w:rsidRPr="004C5A32" w:rsidRDefault="001141BD" w:rsidP="00854440">
      <w:pPr>
        <w:rPr>
          <w:rFonts w:ascii="Calibri" w:hAnsi="Calibri" w:cs="Calibri"/>
          <w:color w:val="FF0000"/>
        </w:rPr>
      </w:pPr>
    </w:p>
    <w:p w14:paraId="6744DDA2" w14:textId="77777777" w:rsidR="001141BD" w:rsidRPr="004C5A32" w:rsidRDefault="001141BD" w:rsidP="00854440">
      <w:pPr>
        <w:rPr>
          <w:rFonts w:ascii="Calibri" w:hAnsi="Calibri" w:cs="Calibri"/>
          <w:color w:val="FF0000"/>
        </w:rPr>
      </w:pPr>
    </w:p>
    <w:p w14:paraId="57F76E8F" w14:textId="77777777" w:rsidR="001141BD" w:rsidRPr="004C5A32" w:rsidRDefault="001141BD" w:rsidP="00854440">
      <w:pPr>
        <w:rPr>
          <w:rFonts w:ascii="Calibri" w:hAnsi="Calibri" w:cs="Calibri"/>
          <w:color w:val="FF0000"/>
        </w:rPr>
      </w:pPr>
    </w:p>
    <w:sectPr w:rsidR="001141BD" w:rsidRPr="004C5A32" w:rsidSect="009955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4090001"/>
    <w:lvl w:ilvl="0">
      <w:start w:val="1"/>
      <w:numFmt w:val="bullet"/>
      <w:lvlText w:val=""/>
      <w:lvlJc w:val="left"/>
      <w:pPr>
        <w:ind w:left="720" w:hanging="360"/>
      </w:pPr>
      <w:rPr>
        <w:rFonts w:ascii="Symbol" w:hAnsi="Symbol" w:cs="Symbol" w:hint="default"/>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lvl w:ilvl="0">
      <w:start w:val="1"/>
      <w:numFmt w:val="bullet"/>
      <w:lvlText w:val=""/>
      <w:lvlJc w:val="left"/>
      <w:pPr>
        <w:tabs>
          <w:tab w:val="num" w:pos="720"/>
        </w:tabs>
        <w:ind w:left="720" w:hanging="360"/>
      </w:pPr>
      <w:rPr>
        <w:rFonts w:ascii="Symbol" w:hAnsi="Symbol" w:cs="Symbol"/>
      </w:rPr>
    </w:lvl>
  </w:abstractNum>
  <w:abstractNum w:abstractNumId="5">
    <w:nsid w:val="01E72289"/>
    <w:multiLevelType w:val="multilevel"/>
    <w:tmpl w:val="1424218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8236522"/>
    <w:multiLevelType w:val="hybridMultilevel"/>
    <w:tmpl w:val="32D207C2"/>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3E39FD"/>
    <w:multiLevelType w:val="hybridMultilevel"/>
    <w:tmpl w:val="7702167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8">
    <w:nsid w:val="0DF77F7A"/>
    <w:multiLevelType w:val="hybridMultilevel"/>
    <w:tmpl w:val="920AFD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0F0903A3"/>
    <w:multiLevelType w:val="hybridMultilevel"/>
    <w:tmpl w:val="E02A4452"/>
    <w:lvl w:ilvl="0" w:tplc="8A845F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1D249B5"/>
    <w:multiLevelType w:val="hybridMultilevel"/>
    <w:tmpl w:val="C0D680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BD51C3"/>
    <w:multiLevelType w:val="hybridMultilevel"/>
    <w:tmpl w:val="D5549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741B10"/>
    <w:multiLevelType w:val="hybridMultilevel"/>
    <w:tmpl w:val="F7DEC2E6"/>
    <w:lvl w:ilvl="0" w:tplc="8AFA3DDE">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A2D7150"/>
    <w:multiLevelType w:val="hybridMultilevel"/>
    <w:tmpl w:val="43C65616"/>
    <w:lvl w:ilvl="0" w:tplc="2CDECCFA">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4">
    <w:nsid w:val="1D5333F4"/>
    <w:multiLevelType w:val="multilevel"/>
    <w:tmpl w:val="85BC12EA"/>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5">
    <w:nsid w:val="20756ACC"/>
    <w:multiLevelType w:val="hybridMultilevel"/>
    <w:tmpl w:val="D4101B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DC6E4F"/>
    <w:multiLevelType w:val="hybridMultilevel"/>
    <w:tmpl w:val="FD7E8A1E"/>
    <w:lvl w:ilvl="0" w:tplc="21B8EC16">
      <w:start w:val="1"/>
      <w:numFmt w:val="lowerLetter"/>
      <w:lvlText w:val="%1)"/>
      <w:lvlJc w:val="left"/>
      <w:pPr>
        <w:ind w:left="1080" w:hanging="360"/>
      </w:pPr>
      <w:rPr>
        <w:rFonts w:ascii="Calibri" w:eastAsia="Times New Roman" w:hAnsi="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0754B0"/>
    <w:multiLevelType w:val="hybridMultilevel"/>
    <w:tmpl w:val="443AF2BA"/>
    <w:lvl w:ilvl="0" w:tplc="04090001">
      <w:start w:val="1"/>
      <w:numFmt w:val="bullet"/>
      <w:lvlText w:val=""/>
      <w:lvlJc w:val="left"/>
      <w:pPr>
        <w:tabs>
          <w:tab w:val="num" w:pos="720"/>
        </w:tabs>
        <w:ind w:left="720" w:hanging="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C741698"/>
    <w:multiLevelType w:val="hybridMultilevel"/>
    <w:tmpl w:val="743461FA"/>
    <w:lvl w:ilvl="0" w:tplc="45DC992C">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4BB2B82"/>
    <w:multiLevelType w:val="hybridMultilevel"/>
    <w:tmpl w:val="BA4A4C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38CA4EFD"/>
    <w:multiLevelType w:val="hybridMultilevel"/>
    <w:tmpl w:val="131ED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B7E10CE"/>
    <w:multiLevelType w:val="hybridMultilevel"/>
    <w:tmpl w:val="77545A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220895"/>
    <w:multiLevelType w:val="hybridMultilevel"/>
    <w:tmpl w:val="E2A219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D7378"/>
    <w:multiLevelType w:val="hybridMultilevel"/>
    <w:tmpl w:val="D64CA2FE"/>
    <w:lvl w:ilvl="0" w:tplc="C75E070C">
      <w:start w:val="3"/>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4">
    <w:nsid w:val="4B3F6B39"/>
    <w:multiLevelType w:val="hybridMultilevel"/>
    <w:tmpl w:val="904415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7F1C62"/>
    <w:multiLevelType w:val="hybridMultilevel"/>
    <w:tmpl w:val="E2940742"/>
    <w:lvl w:ilvl="0" w:tplc="10423B3C">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6">
    <w:nsid w:val="51112E47"/>
    <w:multiLevelType w:val="hybridMultilevel"/>
    <w:tmpl w:val="06B24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nsid w:val="51BE2853"/>
    <w:multiLevelType w:val="hybridMultilevel"/>
    <w:tmpl w:val="7780E8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553A4E8F"/>
    <w:multiLevelType w:val="hybridMultilevel"/>
    <w:tmpl w:val="0148A456"/>
    <w:lvl w:ilvl="0" w:tplc="F85C6D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B6BEE"/>
    <w:multiLevelType w:val="hybridMultilevel"/>
    <w:tmpl w:val="F3C2245E"/>
    <w:lvl w:ilvl="0" w:tplc="8A845F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D072EF8"/>
    <w:multiLevelType w:val="hybridMultilevel"/>
    <w:tmpl w:val="3138950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2">
    <w:nsid w:val="60817C44"/>
    <w:multiLevelType w:val="hybridMultilevel"/>
    <w:tmpl w:val="3DC64B3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3">
    <w:nsid w:val="69D27437"/>
    <w:multiLevelType w:val="hybridMultilevel"/>
    <w:tmpl w:val="B2609498"/>
    <w:lvl w:ilvl="0" w:tplc="8A845F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C726A8"/>
    <w:multiLevelType w:val="hybridMultilevel"/>
    <w:tmpl w:val="45E493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364F7"/>
    <w:multiLevelType w:val="hybridMultilevel"/>
    <w:tmpl w:val="B8A0797E"/>
    <w:lvl w:ilvl="0" w:tplc="08D8AA10">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6">
    <w:nsid w:val="7F7F091B"/>
    <w:multiLevelType w:val="hybridMultilevel"/>
    <w:tmpl w:val="DF4276A8"/>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31"/>
  </w:num>
  <w:num w:numId="2">
    <w:abstractNumId w:val="0"/>
  </w:num>
  <w:num w:numId="3">
    <w:abstractNumId w:val="14"/>
  </w:num>
  <w:num w:numId="4">
    <w:abstractNumId w:val="5"/>
  </w:num>
  <w:num w:numId="5">
    <w:abstractNumId w:val="32"/>
  </w:num>
  <w:num w:numId="6">
    <w:abstractNumId w:val="1"/>
  </w:num>
  <w:num w:numId="7">
    <w:abstractNumId w:val="2"/>
  </w:num>
  <w:num w:numId="8">
    <w:abstractNumId w:val="4"/>
  </w:num>
  <w:num w:numId="9">
    <w:abstractNumId w:val="36"/>
  </w:num>
  <w:num w:numId="10">
    <w:abstractNumId w:val="7"/>
  </w:num>
  <w:num w:numId="11">
    <w:abstractNumId w:val="28"/>
  </w:num>
  <w:num w:numId="12">
    <w:abstractNumId w:val="17"/>
  </w:num>
  <w:num w:numId="13">
    <w:abstractNumId w:val="6"/>
  </w:num>
  <w:num w:numId="14">
    <w:abstractNumId w:val="1"/>
  </w:num>
  <w:num w:numId="15">
    <w:abstractNumId w:val="3"/>
  </w:num>
  <w:num w:numId="16">
    <w:abstractNumId w:val="4"/>
  </w:num>
  <w:num w:numId="17">
    <w:abstractNumId w:val="26"/>
  </w:num>
  <w:num w:numId="18">
    <w:abstractNumId w:val="19"/>
  </w:num>
  <w:num w:numId="19">
    <w:abstractNumId w:val="27"/>
  </w:num>
  <w:num w:numId="20">
    <w:abstractNumId w:val="21"/>
  </w:num>
  <w:num w:numId="21">
    <w:abstractNumId w:val="8"/>
  </w:num>
  <w:num w:numId="22">
    <w:abstractNumId w:val="10"/>
  </w:num>
  <w:num w:numId="23">
    <w:abstractNumId w:val="12"/>
  </w:num>
  <w:num w:numId="24">
    <w:abstractNumId w:val="20"/>
  </w:num>
  <w:num w:numId="25">
    <w:abstractNumId w:val="11"/>
  </w:num>
  <w:num w:numId="26">
    <w:abstractNumId w:val="25"/>
  </w:num>
  <w:num w:numId="27">
    <w:abstractNumId w:val="16"/>
  </w:num>
  <w:num w:numId="28">
    <w:abstractNumId w:val="18"/>
  </w:num>
  <w:num w:numId="29">
    <w:abstractNumId w:val="13"/>
  </w:num>
  <w:num w:numId="30">
    <w:abstractNumId w:val="35"/>
  </w:num>
  <w:num w:numId="31">
    <w:abstractNumId w:val="23"/>
  </w:num>
  <w:num w:numId="32">
    <w:abstractNumId w:val="34"/>
  </w:num>
  <w:num w:numId="33">
    <w:abstractNumId w:val="24"/>
  </w:num>
  <w:num w:numId="34">
    <w:abstractNumId w:val="33"/>
  </w:num>
  <w:num w:numId="35">
    <w:abstractNumId w:val="15"/>
  </w:num>
  <w:num w:numId="36">
    <w:abstractNumId w:val="22"/>
  </w:num>
  <w:num w:numId="37">
    <w:abstractNumId w:val="9"/>
  </w:num>
  <w:num w:numId="38">
    <w:abstractNumId w:val="2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464"/>
    <w:rsid w:val="00017A73"/>
    <w:rsid w:val="000220B9"/>
    <w:rsid w:val="00026013"/>
    <w:rsid w:val="00035A50"/>
    <w:rsid w:val="00055D52"/>
    <w:rsid w:val="00083D17"/>
    <w:rsid w:val="00085438"/>
    <w:rsid w:val="00086D2E"/>
    <w:rsid w:val="000B7D09"/>
    <w:rsid w:val="000D4411"/>
    <w:rsid w:val="000D61AC"/>
    <w:rsid w:val="000F2E9C"/>
    <w:rsid w:val="000F3ACA"/>
    <w:rsid w:val="000F7A08"/>
    <w:rsid w:val="00111C1F"/>
    <w:rsid w:val="001141BD"/>
    <w:rsid w:val="00125038"/>
    <w:rsid w:val="00163FFE"/>
    <w:rsid w:val="0018712A"/>
    <w:rsid w:val="001B1EC4"/>
    <w:rsid w:val="001B2B34"/>
    <w:rsid w:val="001B51B6"/>
    <w:rsid w:val="001F211A"/>
    <w:rsid w:val="001F47BC"/>
    <w:rsid w:val="00206EEB"/>
    <w:rsid w:val="0022392E"/>
    <w:rsid w:val="00226B29"/>
    <w:rsid w:val="0024792C"/>
    <w:rsid w:val="0027652C"/>
    <w:rsid w:val="00290EA9"/>
    <w:rsid w:val="002A270B"/>
    <w:rsid w:val="002B5BA7"/>
    <w:rsid w:val="002D1EA8"/>
    <w:rsid w:val="002D4767"/>
    <w:rsid w:val="002D5C83"/>
    <w:rsid w:val="003518EA"/>
    <w:rsid w:val="00371280"/>
    <w:rsid w:val="003D5FF9"/>
    <w:rsid w:val="003E0B75"/>
    <w:rsid w:val="00407C70"/>
    <w:rsid w:val="004105D7"/>
    <w:rsid w:val="00424CAB"/>
    <w:rsid w:val="00432735"/>
    <w:rsid w:val="00452D27"/>
    <w:rsid w:val="00454C75"/>
    <w:rsid w:val="0046047B"/>
    <w:rsid w:val="0046372D"/>
    <w:rsid w:val="00470084"/>
    <w:rsid w:val="00471B89"/>
    <w:rsid w:val="00492866"/>
    <w:rsid w:val="004958FE"/>
    <w:rsid w:val="004A1146"/>
    <w:rsid w:val="004A356A"/>
    <w:rsid w:val="004C5A32"/>
    <w:rsid w:val="005275B4"/>
    <w:rsid w:val="00537069"/>
    <w:rsid w:val="00537B33"/>
    <w:rsid w:val="00541C92"/>
    <w:rsid w:val="00570428"/>
    <w:rsid w:val="005858FC"/>
    <w:rsid w:val="0058691D"/>
    <w:rsid w:val="005A2695"/>
    <w:rsid w:val="005B118D"/>
    <w:rsid w:val="005B5A85"/>
    <w:rsid w:val="005C1A52"/>
    <w:rsid w:val="005D070D"/>
    <w:rsid w:val="005E29A9"/>
    <w:rsid w:val="005F1C3C"/>
    <w:rsid w:val="005F2265"/>
    <w:rsid w:val="005F5F91"/>
    <w:rsid w:val="00606092"/>
    <w:rsid w:val="0064117F"/>
    <w:rsid w:val="00647667"/>
    <w:rsid w:val="00677E84"/>
    <w:rsid w:val="006A497B"/>
    <w:rsid w:val="006D553E"/>
    <w:rsid w:val="006E1B9A"/>
    <w:rsid w:val="00725F41"/>
    <w:rsid w:val="00750BB4"/>
    <w:rsid w:val="007579B6"/>
    <w:rsid w:val="00772458"/>
    <w:rsid w:val="007915CA"/>
    <w:rsid w:val="007C7FEA"/>
    <w:rsid w:val="007D08A1"/>
    <w:rsid w:val="007D4830"/>
    <w:rsid w:val="008104A7"/>
    <w:rsid w:val="00834669"/>
    <w:rsid w:val="00854440"/>
    <w:rsid w:val="00861BE0"/>
    <w:rsid w:val="008718B0"/>
    <w:rsid w:val="00875F56"/>
    <w:rsid w:val="00880762"/>
    <w:rsid w:val="008A64F7"/>
    <w:rsid w:val="008C5B78"/>
    <w:rsid w:val="008D2B47"/>
    <w:rsid w:val="008E0F93"/>
    <w:rsid w:val="00905B21"/>
    <w:rsid w:val="00944F0E"/>
    <w:rsid w:val="00953C18"/>
    <w:rsid w:val="00981EE1"/>
    <w:rsid w:val="00991AFC"/>
    <w:rsid w:val="00994480"/>
    <w:rsid w:val="00995550"/>
    <w:rsid w:val="009C4082"/>
    <w:rsid w:val="009C4145"/>
    <w:rsid w:val="009D4592"/>
    <w:rsid w:val="009E3E3A"/>
    <w:rsid w:val="009F711D"/>
    <w:rsid w:val="00A07C16"/>
    <w:rsid w:val="00A20499"/>
    <w:rsid w:val="00A20959"/>
    <w:rsid w:val="00A45DD1"/>
    <w:rsid w:val="00A70FB7"/>
    <w:rsid w:val="00A73378"/>
    <w:rsid w:val="00AC0CAC"/>
    <w:rsid w:val="00AE353B"/>
    <w:rsid w:val="00B157C9"/>
    <w:rsid w:val="00B31CAE"/>
    <w:rsid w:val="00B33EE7"/>
    <w:rsid w:val="00B45BD9"/>
    <w:rsid w:val="00B762ED"/>
    <w:rsid w:val="00B877EF"/>
    <w:rsid w:val="00B902E9"/>
    <w:rsid w:val="00B92EE1"/>
    <w:rsid w:val="00BD151C"/>
    <w:rsid w:val="00BD65CA"/>
    <w:rsid w:val="00C12B88"/>
    <w:rsid w:val="00C231F4"/>
    <w:rsid w:val="00C33B6E"/>
    <w:rsid w:val="00C50236"/>
    <w:rsid w:val="00C857F4"/>
    <w:rsid w:val="00CA7D95"/>
    <w:rsid w:val="00CB1CA1"/>
    <w:rsid w:val="00CB5C5A"/>
    <w:rsid w:val="00CD2FF6"/>
    <w:rsid w:val="00D0477B"/>
    <w:rsid w:val="00D1156F"/>
    <w:rsid w:val="00D1772B"/>
    <w:rsid w:val="00D31BDE"/>
    <w:rsid w:val="00D43FEB"/>
    <w:rsid w:val="00D457A7"/>
    <w:rsid w:val="00DB406B"/>
    <w:rsid w:val="00DB5908"/>
    <w:rsid w:val="00DB629A"/>
    <w:rsid w:val="00E21DE1"/>
    <w:rsid w:val="00E4524B"/>
    <w:rsid w:val="00E70DB3"/>
    <w:rsid w:val="00E8724E"/>
    <w:rsid w:val="00E95BF5"/>
    <w:rsid w:val="00EB256A"/>
    <w:rsid w:val="00EB7D41"/>
    <w:rsid w:val="00ED31F6"/>
    <w:rsid w:val="00ED3EF0"/>
    <w:rsid w:val="00EE0179"/>
    <w:rsid w:val="00EF1162"/>
    <w:rsid w:val="00EF4E0B"/>
    <w:rsid w:val="00F17464"/>
    <w:rsid w:val="00F55189"/>
    <w:rsid w:val="00F92D10"/>
    <w:rsid w:val="00F95464"/>
    <w:rsid w:val="00F960E8"/>
    <w:rsid w:val="00FA1663"/>
    <w:rsid w:val="00FB58AE"/>
    <w:rsid w:val="00FE0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00E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0"/>
    <w:pPr>
      <w:widowControl w:val="0"/>
      <w:suppressAutoHyphens/>
    </w:pPr>
    <w:rPr>
      <w:rFonts w:ascii="Times New Roman" w:hAnsi="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555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95550"/>
    <w:rPr>
      <w:color w:val="0000FF"/>
      <w:u w:val="single"/>
    </w:rPr>
  </w:style>
  <w:style w:type="paragraph" w:styleId="ListParagraph">
    <w:name w:val="List Paragraph"/>
    <w:basedOn w:val="Normal"/>
    <w:uiPriority w:val="99"/>
    <w:qFormat/>
    <w:rsid w:val="000D4411"/>
    <w:pPr>
      <w:ind w:left="720"/>
    </w:pPr>
  </w:style>
  <w:style w:type="paragraph" w:styleId="BalloonText">
    <w:name w:val="Balloon Text"/>
    <w:basedOn w:val="Normal"/>
    <w:link w:val="BalloonTextChar"/>
    <w:uiPriority w:val="99"/>
    <w:semiHidden/>
    <w:rsid w:val="00CA7D95"/>
    <w:rPr>
      <w:rFonts w:ascii="Tahoma" w:hAnsi="Tahoma" w:cs="Tahoma"/>
      <w:sz w:val="16"/>
      <w:szCs w:val="16"/>
    </w:rPr>
  </w:style>
  <w:style w:type="character" w:customStyle="1" w:styleId="BalloonTextChar">
    <w:name w:val="Balloon Text Char"/>
    <w:basedOn w:val="DefaultParagraphFont"/>
    <w:link w:val="BalloonText"/>
    <w:uiPriority w:val="99"/>
    <w:semiHidden/>
    <w:rsid w:val="00CA7D95"/>
    <w:rPr>
      <w:rFonts w:ascii="Tahoma"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684</Words>
  <Characters>3901</Characters>
  <Application>Microsoft Macintosh Word</Application>
  <DocSecurity>0</DocSecurity>
  <Lines>32</Lines>
  <Paragraphs>9</Paragraphs>
  <ScaleCrop>false</ScaleCrop>
  <Company>City College of San Francisco</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ENRG 50 - Introduction to Commercial Building Audits</dc:title>
  <dc:subject/>
  <dc:creator>Wendy L. Miller</dc:creator>
  <cp:keywords/>
  <dc:description/>
  <cp:lastModifiedBy>Wendy Miller</cp:lastModifiedBy>
  <cp:revision>7</cp:revision>
  <cp:lastPrinted>2013-07-09T21:48:00Z</cp:lastPrinted>
  <dcterms:created xsi:type="dcterms:W3CDTF">2013-10-31T21:17:00Z</dcterms:created>
  <dcterms:modified xsi:type="dcterms:W3CDTF">2013-11-09T22:13:00Z</dcterms:modified>
</cp:coreProperties>
</file>