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6BE480" w14:textId="77777777" w:rsidR="004E56CF" w:rsidRPr="00B03158" w:rsidRDefault="004E56CF" w:rsidP="004E56CF">
      <w:pPr>
        <w:jc w:val="center"/>
        <w:rPr>
          <w:b/>
          <w:sz w:val="32"/>
        </w:rPr>
      </w:pPr>
      <w:r w:rsidRPr="00B03158">
        <w:rPr>
          <w:b/>
          <w:sz w:val="32"/>
        </w:rPr>
        <w:t>Southwest Center for Microsystems Education (SCME)</w:t>
      </w:r>
    </w:p>
    <w:p w14:paraId="4129E5EE" w14:textId="77777777" w:rsidR="004E56CF" w:rsidRPr="00B03158" w:rsidRDefault="004E56CF" w:rsidP="004E56CF">
      <w:pPr>
        <w:jc w:val="center"/>
        <w:rPr>
          <w:b/>
          <w:sz w:val="32"/>
        </w:rPr>
      </w:pPr>
      <w:r w:rsidRPr="00B03158">
        <w:rPr>
          <w:b/>
          <w:sz w:val="32"/>
        </w:rPr>
        <w:t>University of New Mexico</w:t>
      </w:r>
    </w:p>
    <w:p w14:paraId="227CBA30" w14:textId="77777777" w:rsidR="004E56CF" w:rsidRDefault="004E56CF" w:rsidP="00404EA6">
      <w:pPr>
        <w:rPr>
          <w:b/>
          <w:sz w:val="32"/>
        </w:rPr>
      </w:pPr>
    </w:p>
    <w:p w14:paraId="25FF9B55" w14:textId="77777777" w:rsidR="00173F72" w:rsidRPr="00A05FAF" w:rsidRDefault="00B91B67" w:rsidP="00173F72">
      <w:pPr>
        <w:jc w:val="center"/>
        <w:rPr>
          <w:b/>
          <w:color w:val="C00000"/>
          <w:sz w:val="56"/>
        </w:rPr>
      </w:pPr>
      <w:r>
        <w:rPr>
          <w:b/>
          <w:color w:val="C00000"/>
          <w:sz w:val="56"/>
        </w:rPr>
        <w:t>History of MEMS</w:t>
      </w:r>
    </w:p>
    <w:p w14:paraId="59F6C1D3" w14:textId="77777777" w:rsidR="004E56CF" w:rsidRPr="00A05FAF" w:rsidRDefault="00F00AB7" w:rsidP="004E56CF">
      <w:pPr>
        <w:jc w:val="center"/>
        <w:rPr>
          <w:b/>
          <w:color w:val="C00000"/>
          <w:sz w:val="56"/>
        </w:rPr>
      </w:pPr>
      <w:r>
        <w:rPr>
          <w:b/>
          <w:color w:val="C00000"/>
          <w:sz w:val="56"/>
        </w:rPr>
        <w:t>Learning Module</w:t>
      </w:r>
    </w:p>
    <w:p w14:paraId="6A76B376" w14:textId="77777777" w:rsidR="004E56CF" w:rsidRDefault="004E56CF" w:rsidP="004E56CF">
      <w:pPr>
        <w:jc w:val="center"/>
        <w:rPr>
          <w:b/>
          <w:sz w:val="32"/>
        </w:rPr>
      </w:pPr>
    </w:p>
    <w:p w14:paraId="66CFA0B6" w14:textId="6A831199" w:rsidR="00F00AB7" w:rsidRPr="00B37343" w:rsidRDefault="00F00AB7" w:rsidP="00F00AB7">
      <w:pPr>
        <w:jc w:val="center"/>
        <w:rPr>
          <w:sz w:val="28"/>
          <w:u w:val="single"/>
        </w:rPr>
      </w:pPr>
      <w:r w:rsidRPr="00B37343">
        <w:rPr>
          <w:sz w:val="28"/>
          <w:u w:val="single"/>
        </w:rPr>
        <w:t xml:space="preserve">This booklet contains </w:t>
      </w:r>
      <w:r w:rsidR="00404EA6">
        <w:rPr>
          <w:sz w:val="28"/>
          <w:u w:val="single"/>
        </w:rPr>
        <w:t>five (5)</w:t>
      </w:r>
      <w:r w:rsidRPr="00B37343">
        <w:rPr>
          <w:sz w:val="28"/>
          <w:u w:val="single"/>
        </w:rPr>
        <w:t xml:space="preserve"> </w:t>
      </w:r>
      <w:r w:rsidR="00D8498E">
        <w:rPr>
          <w:sz w:val="28"/>
          <w:u w:val="single"/>
        </w:rPr>
        <w:t>units:</w:t>
      </w:r>
    </w:p>
    <w:p w14:paraId="46556712" w14:textId="77777777" w:rsidR="000814EE" w:rsidRDefault="000814EE" w:rsidP="004E56CF">
      <w:pPr>
        <w:jc w:val="center"/>
        <w:rPr>
          <w:sz w:val="28"/>
        </w:rPr>
      </w:pPr>
      <w:r>
        <w:rPr>
          <w:sz w:val="28"/>
        </w:rPr>
        <w:t>History of MEMS Knowledge Probe (KP)</w:t>
      </w:r>
    </w:p>
    <w:p w14:paraId="555FE82B" w14:textId="77777777" w:rsidR="002F2305" w:rsidRDefault="00B91B67" w:rsidP="004E56CF">
      <w:pPr>
        <w:jc w:val="center"/>
        <w:rPr>
          <w:sz w:val="28"/>
        </w:rPr>
      </w:pPr>
      <w:r>
        <w:rPr>
          <w:sz w:val="28"/>
        </w:rPr>
        <w:t>History of MEMS</w:t>
      </w:r>
      <w:r w:rsidR="0048434C">
        <w:rPr>
          <w:sz w:val="28"/>
        </w:rPr>
        <w:t xml:space="preserve"> Primary Knowledge (PK)</w:t>
      </w:r>
    </w:p>
    <w:p w14:paraId="5B5A9029" w14:textId="287F98CF" w:rsidR="0048434C" w:rsidRDefault="004467E4" w:rsidP="004E56CF">
      <w:pPr>
        <w:jc w:val="center"/>
        <w:rPr>
          <w:sz w:val="28"/>
        </w:rPr>
      </w:pPr>
      <w:r>
        <w:rPr>
          <w:sz w:val="28"/>
        </w:rPr>
        <w:t xml:space="preserve">Activity:  </w:t>
      </w:r>
      <w:r w:rsidR="00B91B67">
        <w:rPr>
          <w:sz w:val="28"/>
        </w:rPr>
        <w:t>History of MEMS</w:t>
      </w:r>
    </w:p>
    <w:p w14:paraId="421614DE" w14:textId="783468EA" w:rsidR="004467E4" w:rsidRDefault="004467E4" w:rsidP="004E56CF">
      <w:pPr>
        <w:jc w:val="center"/>
        <w:rPr>
          <w:sz w:val="28"/>
        </w:rPr>
      </w:pPr>
      <w:r>
        <w:rPr>
          <w:sz w:val="28"/>
        </w:rPr>
        <w:t>Activity:  New Innovations in MEMS</w:t>
      </w:r>
    </w:p>
    <w:p w14:paraId="3C596D3B" w14:textId="77777777" w:rsidR="0048434C" w:rsidRDefault="000814EE" w:rsidP="004E56CF">
      <w:pPr>
        <w:jc w:val="center"/>
        <w:rPr>
          <w:sz w:val="28"/>
        </w:rPr>
      </w:pPr>
      <w:r>
        <w:rPr>
          <w:sz w:val="28"/>
        </w:rPr>
        <w:t xml:space="preserve">Final </w:t>
      </w:r>
      <w:r w:rsidR="0048434C">
        <w:rPr>
          <w:sz w:val="28"/>
        </w:rPr>
        <w:t>Assessment</w:t>
      </w:r>
    </w:p>
    <w:p w14:paraId="4DC03F55" w14:textId="77777777" w:rsidR="00F00AB7" w:rsidRDefault="00F00AB7" w:rsidP="004E56CF">
      <w:pPr>
        <w:jc w:val="center"/>
        <w:rPr>
          <w:sz w:val="28"/>
        </w:rPr>
      </w:pPr>
    </w:p>
    <w:p w14:paraId="634A83FB" w14:textId="77777777" w:rsidR="00D8498E" w:rsidRPr="000B6421" w:rsidRDefault="00D8498E" w:rsidP="00D8498E">
      <w:pPr>
        <w:jc w:val="center"/>
      </w:pPr>
      <w:r w:rsidRPr="000B6421">
        <w:t>A Learning Module Map is included as a suggested outline on how to use this learning module.</w:t>
      </w:r>
    </w:p>
    <w:p w14:paraId="3CB627CC" w14:textId="77777777" w:rsidR="00F00AB7" w:rsidRDefault="00F00AB7" w:rsidP="00F00AB7">
      <w:pPr>
        <w:jc w:val="center"/>
        <w:rPr>
          <w:sz w:val="32"/>
        </w:rPr>
      </w:pPr>
    </w:p>
    <w:p w14:paraId="2C3847F9" w14:textId="6D5B3103" w:rsidR="00D8498E" w:rsidRPr="000B6421" w:rsidRDefault="000B6421" w:rsidP="00F00AB7">
      <w:pPr>
        <w:jc w:val="center"/>
        <w:rPr>
          <w:i/>
          <w:sz w:val="28"/>
        </w:rPr>
      </w:pPr>
      <w:r w:rsidRPr="000B6421">
        <w:rPr>
          <w:i/>
          <w:sz w:val="28"/>
        </w:rPr>
        <w:t>This learning module provides a timeline of the progression of microtechnology through a series of innovations that starts with the first Point Contact Transistor built in 1947 and ends with the optical network switch in 1999.  Activities provide the opportunity to build on this timeline and to identify innovations of the 21st century that have contributed to current advancements in both micro and nanotechnology.</w:t>
      </w:r>
    </w:p>
    <w:p w14:paraId="5E74205F" w14:textId="77777777" w:rsidR="000B6421" w:rsidRPr="00630BB9" w:rsidRDefault="000B6421" w:rsidP="00F00AB7">
      <w:pPr>
        <w:jc w:val="center"/>
        <w:rPr>
          <w:i/>
          <w:sz w:val="28"/>
        </w:rPr>
      </w:pPr>
    </w:p>
    <w:p w14:paraId="062DF779" w14:textId="77777777" w:rsidR="00D8498E" w:rsidRDefault="00D8498E" w:rsidP="00D8498E">
      <w:pPr>
        <w:jc w:val="center"/>
        <w:rPr>
          <w:sz w:val="28"/>
        </w:rPr>
      </w:pPr>
      <w:r w:rsidRPr="00766922">
        <w:rPr>
          <w:sz w:val="28"/>
        </w:rPr>
        <w:t>Target audiences:</w:t>
      </w:r>
      <w:r>
        <w:rPr>
          <w:sz w:val="28"/>
        </w:rPr>
        <w:t xml:space="preserve"> High School, Community College, </w:t>
      </w:r>
      <w:proofErr w:type="gramStart"/>
      <w:r>
        <w:rPr>
          <w:sz w:val="28"/>
        </w:rPr>
        <w:t>University</w:t>
      </w:r>
      <w:proofErr w:type="gramEnd"/>
    </w:p>
    <w:p w14:paraId="2C7B9288" w14:textId="77777777" w:rsidR="00D8498E" w:rsidRDefault="00D8498E" w:rsidP="00D8498E">
      <w:pPr>
        <w:jc w:val="center"/>
        <w:rPr>
          <w:b/>
          <w:sz w:val="32"/>
        </w:rPr>
      </w:pPr>
    </w:p>
    <w:p w14:paraId="1BB14061" w14:textId="77777777" w:rsidR="00D8498E" w:rsidRDefault="00D8498E" w:rsidP="00D8498E">
      <w:pPr>
        <w:jc w:val="center"/>
      </w:pPr>
      <w:r>
        <w:t>Made possible through grants from the National Science Foundation Department of Undergraduate Education #0830384, 0902411, and 1205138.</w:t>
      </w:r>
    </w:p>
    <w:p w14:paraId="79FF7BF6" w14:textId="77777777" w:rsidR="00D8498E" w:rsidRDefault="00D8498E" w:rsidP="00D8498E">
      <w:pPr>
        <w:jc w:val="center"/>
      </w:pPr>
    </w:p>
    <w:p w14:paraId="59438B72" w14:textId="77777777" w:rsidR="00D8498E" w:rsidRDefault="00D8498E" w:rsidP="00D8498E">
      <w:pPr>
        <w:jc w:val="center"/>
      </w:pPr>
      <w:r>
        <w:t>Any opinions, findings and conclusions or recommendations expressed in this material are those of the authors and creators, and do not necessarily reflect the views of the National Science Foundation.</w:t>
      </w:r>
    </w:p>
    <w:p w14:paraId="0F4970A7" w14:textId="77777777" w:rsidR="00D8498E" w:rsidRDefault="00D8498E" w:rsidP="00D8498E">
      <w:pPr>
        <w:rPr>
          <w:b/>
          <w:sz w:val="32"/>
        </w:rPr>
      </w:pPr>
    </w:p>
    <w:p w14:paraId="0F738126" w14:textId="77777777" w:rsidR="00D8498E" w:rsidRDefault="00D8498E" w:rsidP="00D8498E">
      <w:pPr>
        <w:jc w:val="center"/>
      </w:pPr>
      <w:r>
        <w:t>Southwest Center for Microsystems Education (SCME) NSF ATE Center</w:t>
      </w:r>
    </w:p>
    <w:p w14:paraId="5D2E5769" w14:textId="35CF947C" w:rsidR="00D8498E" w:rsidRDefault="0017762C" w:rsidP="00D8498E">
      <w:pPr>
        <w:jc w:val="center"/>
      </w:pPr>
      <w:r>
        <w:t>© 2009</w:t>
      </w:r>
      <w:r w:rsidR="00D8498E">
        <w:t xml:space="preserve"> Regents of the University of New Mexico</w:t>
      </w:r>
    </w:p>
    <w:p w14:paraId="55DC315B" w14:textId="77777777" w:rsidR="00D8498E" w:rsidRDefault="00D8498E" w:rsidP="00D8498E">
      <w:pPr>
        <w:jc w:val="center"/>
      </w:pPr>
    </w:p>
    <w:p w14:paraId="7B5E6492" w14:textId="77777777" w:rsidR="00D8498E" w:rsidRDefault="00D8498E" w:rsidP="00D8498E">
      <w:pPr>
        <w:jc w:val="center"/>
      </w:pPr>
      <w:r>
        <w:t>Content is protected by the CC Attribution Non-Commercial Share Alike license.</w:t>
      </w:r>
    </w:p>
    <w:p w14:paraId="6F45202F" w14:textId="77777777" w:rsidR="00D8498E" w:rsidRDefault="00D8498E" w:rsidP="00D8498E">
      <w:pPr>
        <w:jc w:val="center"/>
      </w:pPr>
    </w:p>
    <w:p w14:paraId="49F0A1AF" w14:textId="77777777" w:rsidR="00D8498E" w:rsidRPr="006A6E75" w:rsidRDefault="00D8498E" w:rsidP="00D8498E">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2F77A518" w14:textId="41470667" w:rsidR="00D8382D" w:rsidRPr="004B4CE7" w:rsidRDefault="004E56CF" w:rsidP="00630BB9">
      <w:pPr>
        <w:pStyle w:val="Heading1"/>
        <w:jc w:val="left"/>
        <w:rPr>
          <w:rFonts w:ascii="Times New Roman" w:hAnsi="Times New Roman" w:cs="Times New Roman"/>
        </w:rPr>
      </w:pPr>
      <w:r>
        <w:rPr>
          <w:rFonts w:ascii="Times New Roman" w:hAnsi="Times New Roman" w:cs="Times New Roman"/>
        </w:rPr>
        <w:br w:type="page"/>
      </w:r>
      <w:r w:rsidR="00630BB9">
        <w:rPr>
          <w:rFonts w:ascii="Times New Roman" w:hAnsi="Times New Roman" w:cs="Times New Roman"/>
        </w:rPr>
        <w:lastRenderedPageBreak/>
        <w:t>Learn</w:t>
      </w:r>
      <w:r w:rsidR="00404EA6">
        <w:rPr>
          <w:rFonts w:ascii="Times New Roman" w:hAnsi="Times New Roman" w:cs="Times New Roman"/>
        </w:rPr>
        <w:t>i</w:t>
      </w:r>
      <w:r w:rsidR="00994CF3">
        <w:rPr>
          <w:rFonts w:ascii="Times New Roman" w:hAnsi="Times New Roman" w:cs="Times New Roman"/>
        </w:rPr>
        <w:t xml:space="preserve">ng Module </w:t>
      </w:r>
      <w:r w:rsidR="0008239A" w:rsidRPr="004B4CE7">
        <w:rPr>
          <w:rFonts w:ascii="Times New Roman" w:hAnsi="Times New Roman" w:cs="Times New Roman"/>
        </w:rPr>
        <w:t xml:space="preserve">Map for </w:t>
      </w:r>
      <w:r w:rsidR="00B91B67">
        <w:rPr>
          <w:rFonts w:ascii="Times New Roman" w:hAnsi="Times New Roman" w:cs="Times New Roman"/>
        </w:rPr>
        <w:t>History of MEMS</w:t>
      </w:r>
    </w:p>
    <w:p w14:paraId="1C05607D" w14:textId="77777777" w:rsidR="00D8382D" w:rsidRPr="004B4CE7" w:rsidRDefault="00D8382D" w:rsidP="00D8382D"/>
    <w:p w14:paraId="39FA55A2" w14:textId="115C6B68" w:rsidR="00630BB9" w:rsidRPr="000B6421" w:rsidRDefault="000B6421" w:rsidP="00630BB9">
      <w:pPr>
        <w:rPr>
          <w:i/>
        </w:rPr>
      </w:pPr>
      <w:bookmarkStart w:id="0" w:name="_GoBack"/>
      <w:r w:rsidRPr="000B6421">
        <w:rPr>
          <w:i/>
        </w:rPr>
        <w:t>This learning module provides a timeline of the progression of microtechnology through a series of innovations that starts with the first Point Contact Transistor built in 1947 and ends with the optical network switch in 1999.  Activities provide the opportunity to build on this timeline and to identify innovations of the 21st century that have contributed to current advancements in both micro and nanotechnology.</w:t>
      </w:r>
    </w:p>
    <w:bookmarkEnd w:id="0"/>
    <w:p w14:paraId="219122DD" w14:textId="77777777" w:rsidR="000B6421" w:rsidRPr="00630BB9" w:rsidRDefault="000B6421" w:rsidP="00630BB9">
      <w:pPr>
        <w:rPr>
          <w:i/>
          <w:sz w:val="28"/>
        </w:rPr>
      </w:pPr>
    </w:p>
    <w:p w14:paraId="53B40D14" w14:textId="5395776E" w:rsidR="00994CF3" w:rsidRDefault="00994CF3" w:rsidP="00D8382D">
      <w:pPr>
        <w:spacing w:line="360" w:lineRule="auto"/>
      </w:pPr>
      <w:r>
        <w:t xml:space="preserve">Learning Module </w:t>
      </w:r>
      <w:r w:rsidR="005A41E6">
        <w:t>unit</w:t>
      </w:r>
      <w:r>
        <w:t>s (</w:t>
      </w:r>
      <w:r w:rsidR="00404EA6">
        <w:t>5</w:t>
      </w:r>
      <w:r>
        <w:t>)</w:t>
      </w:r>
      <w:r w:rsidR="00D8382D" w:rsidRPr="004B4CE7">
        <w:t xml:space="preserve">: </w:t>
      </w:r>
    </w:p>
    <w:p w14:paraId="3D66A151" w14:textId="77777777" w:rsidR="00B57607" w:rsidRDefault="00B57607" w:rsidP="001D2540">
      <w:pPr>
        <w:numPr>
          <w:ilvl w:val="0"/>
          <w:numId w:val="8"/>
        </w:numPr>
      </w:pPr>
      <w:r>
        <w:t>History of MEMS Knowledge Probe (KP)</w:t>
      </w:r>
    </w:p>
    <w:p w14:paraId="25476D3B" w14:textId="77777777" w:rsidR="002F2305" w:rsidRDefault="00B91B67" w:rsidP="001D2540">
      <w:pPr>
        <w:numPr>
          <w:ilvl w:val="0"/>
          <w:numId w:val="8"/>
        </w:numPr>
      </w:pPr>
      <w:r>
        <w:t>History of MEMS</w:t>
      </w:r>
      <w:r w:rsidR="002F2305">
        <w:t xml:space="preserve"> Primary Knowledge (PK)</w:t>
      </w:r>
    </w:p>
    <w:p w14:paraId="40362AE1" w14:textId="77777777" w:rsidR="002F2305" w:rsidRDefault="00B91B67" w:rsidP="001D2540">
      <w:pPr>
        <w:numPr>
          <w:ilvl w:val="0"/>
          <w:numId w:val="8"/>
        </w:numPr>
      </w:pPr>
      <w:r>
        <w:t xml:space="preserve">History of MEMS </w:t>
      </w:r>
      <w:r w:rsidR="002F2305">
        <w:t>Activity</w:t>
      </w:r>
    </w:p>
    <w:p w14:paraId="28139260" w14:textId="11E3376F" w:rsidR="00404EA6" w:rsidRDefault="00404EA6" w:rsidP="001D2540">
      <w:pPr>
        <w:numPr>
          <w:ilvl w:val="0"/>
          <w:numId w:val="8"/>
        </w:numPr>
      </w:pPr>
      <w:r>
        <w:t>New Innovations in MEMS Activity</w:t>
      </w:r>
    </w:p>
    <w:p w14:paraId="7917C749" w14:textId="77777777" w:rsidR="002F2305" w:rsidRDefault="00B91B67" w:rsidP="001D2540">
      <w:pPr>
        <w:numPr>
          <w:ilvl w:val="0"/>
          <w:numId w:val="8"/>
        </w:numPr>
      </w:pPr>
      <w:r>
        <w:t xml:space="preserve">History of MEMS </w:t>
      </w:r>
      <w:r w:rsidR="00173F72">
        <w:t xml:space="preserve">Assessment </w:t>
      </w:r>
    </w:p>
    <w:p w14:paraId="20453BA6" w14:textId="77777777" w:rsidR="00D8382D" w:rsidRDefault="00D8382D" w:rsidP="00D8382D"/>
    <w:p w14:paraId="1B0E1A29" w14:textId="77777777" w:rsidR="003F6700" w:rsidRDefault="003F6700" w:rsidP="00D8382D">
      <w:r w:rsidRPr="004E56CF">
        <w:rPr>
          <w:b/>
        </w:rPr>
        <w:t>Following is a suggested map on the implementation of this learning module</w:t>
      </w:r>
      <w:r>
        <w:t>.</w:t>
      </w:r>
    </w:p>
    <w:p w14:paraId="070E5BFB"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1BF0F30C" w14:textId="77777777" w:rsidTr="005D033C">
        <w:tc>
          <w:tcPr>
            <w:tcW w:w="2995" w:type="dxa"/>
          </w:tcPr>
          <w:p w14:paraId="4CEB71CB" w14:textId="77777777" w:rsidR="00D8382D" w:rsidRPr="004B4CE7" w:rsidRDefault="00D8382D" w:rsidP="00143292">
            <w:pPr>
              <w:jc w:val="center"/>
              <w:rPr>
                <w:b/>
                <w:bCs/>
              </w:rPr>
            </w:pPr>
            <w:r w:rsidRPr="004B4CE7">
              <w:rPr>
                <w:b/>
                <w:bCs/>
              </w:rPr>
              <w:t>IMPORTANT STEPS</w:t>
            </w:r>
          </w:p>
        </w:tc>
        <w:tc>
          <w:tcPr>
            <w:tcW w:w="3420" w:type="dxa"/>
          </w:tcPr>
          <w:p w14:paraId="7F7948C4" w14:textId="77777777" w:rsidR="00D8382D" w:rsidRPr="004B4CE7" w:rsidRDefault="00D8382D" w:rsidP="00143292">
            <w:pPr>
              <w:jc w:val="center"/>
              <w:rPr>
                <w:b/>
                <w:bCs/>
              </w:rPr>
            </w:pPr>
            <w:r w:rsidRPr="004B4CE7">
              <w:rPr>
                <w:b/>
                <w:bCs/>
              </w:rPr>
              <w:t>KEY POINTS</w:t>
            </w:r>
          </w:p>
        </w:tc>
        <w:tc>
          <w:tcPr>
            <w:tcW w:w="3240" w:type="dxa"/>
          </w:tcPr>
          <w:p w14:paraId="6AE9871A" w14:textId="77777777" w:rsidR="00D8382D" w:rsidRPr="004B4CE7" w:rsidRDefault="00D8382D" w:rsidP="00143292">
            <w:pPr>
              <w:jc w:val="center"/>
              <w:rPr>
                <w:b/>
                <w:bCs/>
              </w:rPr>
            </w:pPr>
            <w:r w:rsidRPr="004B4CE7">
              <w:rPr>
                <w:b/>
                <w:bCs/>
              </w:rPr>
              <w:t>REASONS</w:t>
            </w:r>
          </w:p>
        </w:tc>
      </w:tr>
      <w:tr w:rsidR="00B57607" w:rsidRPr="004B4CE7" w14:paraId="7661DB0E" w14:textId="77777777" w:rsidTr="005D033C">
        <w:trPr>
          <w:cantSplit/>
          <w:trHeight w:val="2303"/>
        </w:trPr>
        <w:tc>
          <w:tcPr>
            <w:tcW w:w="2995" w:type="dxa"/>
            <w:vAlign w:val="center"/>
          </w:tcPr>
          <w:p w14:paraId="05A8DDEB" w14:textId="77777777" w:rsidR="00B57607" w:rsidRDefault="00B57607" w:rsidP="003F6700">
            <w:pPr>
              <w:pStyle w:val="Header"/>
            </w:pPr>
            <w:r>
              <w:rPr>
                <w:u w:val="single"/>
              </w:rPr>
              <w:t>Knowledge Probe (KP)</w:t>
            </w:r>
          </w:p>
          <w:p w14:paraId="3A562995" w14:textId="77777777" w:rsidR="00B57607" w:rsidRPr="00B57607" w:rsidRDefault="00B57607" w:rsidP="003F6700">
            <w:pPr>
              <w:pStyle w:val="Header"/>
            </w:pPr>
            <w:r>
              <w:t>(Pre-Quiz)</w:t>
            </w:r>
          </w:p>
        </w:tc>
        <w:tc>
          <w:tcPr>
            <w:tcW w:w="3420" w:type="dxa"/>
            <w:vAlign w:val="center"/>
          </w:tcPr>
          <w:p w14:paraId="16860F39" w14:textId="77777777" w:rsidR="00B57607" w:rsidRDefault="00B57607" w:rsidP="000A691F">
            <w:pPr>
              <w:pStyle w:val="BulletList"/>
              <w:numPr>
                <w:ilvl w:val="0"/>
                <w:numId w:val="0"/>
              </w:numPr>
              <w:ind w:right="450"/>
            </w:pPr>
            <w:r>
              <w:t>This KP will determine the participant’s knowledge of the history of MEMS prior to completing the learning module and related activities.</w:t>
            </w:r>
          </w:p>
        </w:tc>
        <w:tc>
          <w:tcPr>
            <w:tcW w:w="3240" w:type="dxa"/>
            <w:vAlign w:val="center"/>
          </w:tcPr>
          <w:p w14:paraId="3002CC3C" w14:textId="77777777" w:rsidR="00B57607" w:rsidRDefault="00B57607" w:rsidP="00B91B67">
            <w:pPr>
              <w:pStyle w:val="BulletList"/>
              <w:numPr>
                <w:ilvl w:val="0"/>
                <w:numId w:val="0"/>
              </w:numPr>
              <w:ind w:right="450"/>
            </w:pPr>
            <w:r>
              <w:t>By giving the participants both the KP and the final assessment, you can determine the amount of learning that took place as a result of completing this learning module.</w:t>
            </w:r>
          </w:p>
        </w:tc>
      </w:tr>
      <w:tr w:rsidR="00D8382D" w:rsidRPr="004B4CE7" w14:paraId="1B5F6DD1" w14:textId="77777777" w:rsidTr="005D033C">
        <w:trPr>
          <w:cantSplit/>
          <w:trHeight w:val="2303"/>
        </w:trPr>
        <w:tc>
          <w:tcPr>
            <w:tcW w:w="2995" w:type="dxa"/>
            <w:vAlign w:val="center"/>
          </w:tcPr>
          <w:p w14:paraId="231DB04F" w14:textId="77777777" w:rsidR="002F2305" w:rsidRPr="002F2305" w:rsidRDefault="002F2305" w:rsidP="003F6700">
            <w:pPr>
              <w:pStyle w:val="Header"/>
            </w:pPr>
            <w:r>
              <w:rPr>
                <w:u w:val="single"/>
              </w:rPr>
              <w:t>Unit Presentation</w:t>
            </w:r>
            <w:r w:rsidR="00D95B57">
              <w:rPr>
                <w:u w:val="single"/>
              </w:rPr>
              <w:t>:</w:t>
            </w:r>
          </w:p>
          <w:p w14:paraId="450182DE" w14:textId="77777777" w:rsidR="00D8382D" w:rsidRPr="004B4CE7" w:rsidRDefault="007A3184" w:rsidP="00B91B67">
            <w:pPr>
              <w:pStyle w:val="Header"/>
            </w:pPr>
            <w:r>
              <w:t xml:space="preserve">Present the </w:t>
            </w:r>
            <w:r w:rsidR="00B91B67">
              <w:rPr>
                <w:u w:val="single"/>
              </w:rPr>
              <w:t>History of MEMS</w:t>
            </w:r>
            <w:r w:rsidR="0048434C">
              <w:rPr>
                <w:u w:val="single"/>
              </w:rPr>
              <w:t xml:space="preserve"> PK</w:t>
            </w:r>
          </w:p>
        </w:tc>
        <w:tc>
          <w:tcPr>
            <w:tcW w:w="3420" w:type="dxa"/>
            <w:vAlign w:val="center"/>
          </w:tcPr>
          <w:p w14:paraId="66065304" w14:textId="77777777" w:rsidR="003F6700" w:rsidRDefault="003F6700" w:rsidP="000A691F">
            <w:pPr>
              <w:pStyle w:val="BulletList"/>
              <w:numPr>
                <w:ilvl w:val="0"/>
                <w:numId w:val="0"/>
              </w:numPr>
              <w:ind w:right="450"/>
            </w:pPr>
            <w:r>
              <w:t xml:space="preserve">Participants should read the PK.  </w:t>
            </w:r>
          </w:p>
          <w:p w14:paraId="1BABAE86" w14:textId="77777777" w:rsidR="007A3184" w:rsidRPr="007A3184" w:rsidRDefault="007A3184" w:rsidP="007A3184"/>
          <w:p w14:paraId="24531E01" w14:textId="77777777" w:rsidR="00D8382D" w:rsidRPr="004B4CE7" w:rsidRDefault="003F6700" w:rsidP="007A3184">
            <w:pPr>
              <w:pStyle w:val="BulletList"/>
              <w:numPr>
                <w:ilvl w:val="0"/>
                <w:numId w:val="0"/>
              </w:numPr>
              <w:ind w:right="450"/>
            </w:pPr>
            <w:r>
              <w:t>A PowerPoint presentation can be downloaded from scme-nm.org</w:t>
            </w:r>
            <w:r w:rsidR="002654DD">
              <w:t xml:space="preserve"> and presented to all participants</w:t>
            </w:r>
            <w:r w:rsidR="00F00AB7">
              <w:t>.</w:t>
            </w:r>
          </w:p>
        </w:tc>
        <w:tc>
          <w:tcPr>
            <w:tcW w:w="3240" w:type="dxa"/>
            <w:vAlign w:val="center"/>
          </w:tcPr>
          <w:p w14:paraId="23B2BF3E" w14:textId="77777777" w:rsidR="00D8382D" w:rsidRPr="004B4CE7" w:rsidRDefault="008067B1" w:rsidP="00B91B67">
            <w:pPr>
              <w:pStyle w:val="BulletList"/>
              <w:numPr>
                <w:ilvl w:val="0"/>
                <w:numId w:val="0"/>
              </w:numPr>
              <w:ind w:right="450"/>
            </w:pPr>
            <w:r>
              <w:t xml:space="preserve">An introduction into </w:t>
            </w:r>
            <w:r w:rsidR="0048434C">
              <w:t xml:space="preserve">the history and evolution of </w:t>
            </w:r>
            <w:r w:rsidR="00B91B67">
              <w:t>MEMS</w:t>
            </w:r>
            <w:r w:rsidR="0048434C">
              <w:t xml:space="preserve"> will enhance the learning in the activities related to this learning module.</w:t>
            </w:r>
          </w:p>
        </w:tc>
      </w:tr>
      <w:tr w:rsidR="006714D8" w:rsidRPr="004B4CE7" w14:paraId="2B2AA442" w14:textId="77777777" w:rsidTr="005D033C">
        <w:trPr>
          <w:cantSplit/>
          <w:trHeight w:val="800"/>
        </w:trPr>
        <w:tc>
          <w:tcPr>
            <w:tcW w:w="2995" w:type="dxa"/>
            <w:vAlign w:val="center"/>
          </w:tcPr>
          <w:p w14:paraId="3704988F" w14:textId="77777777" w:rsidR="006714D8" w:rsidRDefault="006714D8" w:rsidP="000A691F">
            <w:pPr>
              <w:pStyle w:val="Header"/>
              <w:rPr>
                <w:u w:val="single"/>
              </w:rPr>
            </w:pPr>
          </w:p>
          <w:p w14:paraId="465D712D" w14:textId="77777777" w:rsidR="006714D8" w:rsidRPr="002F2305" w:rsidRDefault="00B91B67" w:rsidP="000A691F">
            <w:pPr>
              <w:pStyle w:val="Header"/>
              <w:rPr>
                <w:u w:val="single"/>
              </w:rPr>
            </w:pPr>
            <w:r>
              <w:rPr>
                <w:u w:val="single"/>
              </w:rPr>
              <w:t>Activity</w:t>
            </w:r>
            <w:r w:rsidR="006714D8">
              <w:rPr>
                <w:u w:val="single"/>
              </w:rPr>
              <w:t>:</w:t>
            </w:r>
          </w:p>
          <w:p w14:paraId="09CBB347" w14:textId="77777777" w:rsidR="006714D8" w:rsidRDefault="0048434C" w:rsidP="000A691F">
            <w:pPr>
              <w:pStyle w:val="Header"/>
            </w:pPr>
            <w:r>
              <w:t>Assign the “</w:t>
            </w:r>
            <w:r w:rsidR="00B91B67">
              <w:t xml:space="preserve">History of MEMS </w:t>
            </w:r>
            <w:r>
              <w:t>Activity.”</w:t>
            </w:r>
          </w:p>
          <w:p w14:paraId="66A95BCB" w14:textId="77777777" w:rsidR="006714D8" w:rsidRPr="004B4CE7" w:rsidRDefault="006714D8" w:rsidP="000A691F">
            <w:pPr>
              <w:pStyle w:val="Header"/>
            </w:pPr>
          </w:p>
        </w:tc>
        <w:tc>
          <w:tcPr>
            <w:tcW w:w="3420" w:type="dxa"/>
            <w:vAlign w:val="center"/>
          </w:tcPr>
          <w:p w14:paraId="0A337302" w14:textId="77777777" w:rsidR="006714D8" w:rsidRPr="007A3184" w:rsidDel="007C60BC" w:rsidRDefault="00B91B67" w:rsidP="001C7CC7">
            <w:pPr>
              <w:pStyle w:val="Header"/>
            </w:pPr>
            <w:r>
              <w:t>This is a crossword puzzle and short research activity.</w:t>
            </w:r>
          </w:p>
        </w:tc>
        <w:tc>
          <w:tcPr>
            <w:tcW w:w="3240" w:type="dxa"/>
            <w:vAlign w:val="center"/>
          </w:tcPr>
          <w:p w14:paraId="72CFDBA8" w14:textId="77777777" w:rsidR="006714D8" w:rsidRPr="004B4CE7" w:rsidRDefault="00B91B67" w:rsidP="001872F7">
            <w:pPr>
              <w:pStyle w:val="Header"/>
            </w:pPr>
            <w:r>
              <w:t>This activity will enhance the participants’ MEMS terminology as well as their knowledge of MEMS history.</w:t>
            </w:r>
          </w:p>
        </w:tc>
      </w:tr>
      <w:tr w:rsidR="00404EA6" w:rsidRPr="004B4CE7" w14:paraId="3CB010FF" w14:textId="77777777" w:rsidTr="005D033C">
        <w:trPr>
          <w:cantSplit/>
          <w:trHeight w:val="1152"/>
        </w:trPr>
        <w:tc>
          <w:tcPr>
            <w:tcW w:w="2995" w:type="dxa"/>
            <w:vAlign w:val="center"/>
          </w:tcPr>
          <w:p w14:paraId="21AB6A6B" w14:textId="481E568C" w:rsidR="00404EA6" w:rsidRDefault="00404EA6" w:rsidP="00760733">
            <w:pPr>
              <w:pStyle w:val="Header"/>
            </w:pPr>
            <w:r>
              <w:rPr>
                <w:u w:val="single"/>
              </w:rPr>
              <w:lastRenderedPageBreak/>
              <w:t>Activity</w:t>
            </w:r>
            <w:r>
              <w:t>:</w:t>
            </w:r>
          </w:p>
          <w:p w14:paraId="3E890BD3" w14:textId="64DAE0D3" w:rsidR="00404EA6" w:rsidRPr="00404EA6" w:rsidRDefault="00404EA6" w:rsidP="00760733">
            <w:pPr>
              <w:pStyle w:val="Header"/>
            </w:pPr>
            <w:r>
              <w:t>Assign the activity “New Innovations in MEMS”</w:t>
            </w:r>
          </w:p>
        </w:tc>
        <w:tc>
          <w:tcPr>
            <w:tcW w:w="3420" w:type="dxa"/>
            <w:vAlign w:val="center"/>
          </w:tcPr>
          <w:p w14:paraId="2A977F96" w14:textId="3FDAA566" w:rsidR="00404EA6" w:rsidRPr="004B4CE7" w:rsidRDefault="00404EA6" w:rsidP="00002089">
            <w:pPr>
              <w:pStyle w:val="Header"/>
            </w:pPr>
            <w:r>
              <w:t>A research activity to explore the newest innovations contributing to the expansion of MEMS and Micro/Nanotechnologies</w:t>
            </w:r>
          </w:p>
        </w:tc>
        <w:tc>
          <w:tcPr>
            <w:tcW w:w="3240" w:type="dxa"/>
            <w:vAlign w:val="center"/>
          </w:tcPr>
          <w:p w14:paraId="42081A90" w14:textId="77777777" w:rsidR="00404EA6" w:rsidRDefault="00404EA6" w:rsidP="00B91B67">
            <w:pPr>
              <w:pStyle w:val="Header"/>
            </w:pPr>
            <w:r>
              <w:t xml:space="preserve">This activity provides the opportunity for students to discover what has happened in their lifetime to contribute to the advancement of MEMS and the new technologies in micro and </w:t>
            </w:r>
            <w:proofErr w:type="spellStart"/>
            <w:r>
              <w:t>nano</w:t>
            </w:r>
            <w:proofErr w:type="spellEnd"/>
            <w:r>
              <w:t>.</w:t>
            </w:r>
          </w:p>
          <w:p w14:paraId="1106607B" w14:textId="77777777" w:rsidR="00404EA6" w:rsidRDefault="00404EA6" w:rsidP="00B91B67">
            <w:pPr>
              <w:pStyle w:val="Header"/>
            </w:pPr>
          </w:p>
        </w:tc>
      </w:tr>
      <w:tr w:rsidR="006537B7" w:rsidRPr="004B4CE7" w14:paraId="69BD7DDB" w14:textId="77777777" w:rsidTr="005D033C">
        <w:trPr>
          <w:cantSplit/>
          <w:trHeight w:val="1152"/>
        </w:trPr>
        <w:tc>
          <w:tcPr>
            <w:tcW w:w="2995" w:type="dxa"/>
            <w:vAlign w:val="center"/>
          </w:tcPr>
          <w:p w14:paraId="1DEC44EE" w14:textId="4BEFDE5A" w:rsidR="006537B7" w:rsidRDefault="00002089" w:rsidP="00760733">
            <w:pPr>
              <w:pStyle w:val="Header"/>
            </w:pPr>
            <w:r>
              <w:rPr>
                <w:u w:val="single"/>
              </w:rPr>
              <w:t>Assessment</w:t>
            </w:r>
            <w:r w:rsidR="00BF487C">
              <w:rPr>
                <w:u w:val="single"/>
              </w:rPr>
              <w:t>:</w:t>
            </w:r>
          </w:p>
          <w:p w14:paraId="0C1D26D8" w14:textId="77777777" w:rsidR="00002089" w:rsidRPr="00002089" w:rsidRDefault="00002089" w:rsidP="001C7CC7">
            <w:pPr>
              <w:pStyle w:val="Header"/>
            </w:pPr>
            <w:r>
              <w:t>Complete the</w:t>
            </w:r>
            <w:r w:rsidR="001C7CC7">
              <w:t xml:space="preserve"> Assessment</w:t>
            </w:r>
            <w:r>
              <w:t>.</w:t>
            </w:r>
          </w:p>
        </w:tc>
        <w:tc>
          <w:tcPr>
            <w:tcW w:w="3420" w:type="dxa"/>
            <w:vAlign w:val="center"/>
          </w:tcPr>
          <w:p w14:paraId="5567F1C7" w14:textId="77777777" w:rsidR="006714D8" w:rsidRPr="004B4CE7" w:rsidRDefault="006714D8" w:rsidP="00002089">
            <w:pPr>
              <w:pStyle w:val="Header"/>
            </w:pPr>
          </w:p>
        </w:tc>
        <w:tc>
          <w:tcPr>
            <w:tcW w:w="3240" w:type="dxa"/>
            <w:vAlign w:val="center"/>
          </w:tcPr>
          <w:p w14:paraId="0FB339CF" w14:textId="77777777" w:rsidR="006537B7" w:rsidRPr="004B4CE7" w:rsidRDefault="001D2540" w:rsidP="00B91B67">
            <w:pPr>
              <w:pStyle w:val="Header"/>
            </w:pPr>
            <w:r>
              <w:t xml:space="preserve">Participants are evaluated on what they </w:t>
            </w:r>
            <w:r w:rsidR="005D033C">
              <w:t xml:space="preserve">have learned about </w:t>
            </w:r>
            <w:r w:rsidR="0048434C">
              <w:t xml:space="preserve">the history </w:t>
            </w:r>
            <w:r w:rsidR="00B91B67">
              <w:t>of MEMS.</w:t>
            </w:r>
          </w:p>
        </w:tc>
      </w:tr>
    </w:tbl>
    <w:p w14:paraId="25923B96" w14:textId="77777777" w:rsidR="00B57607" w:rsidRDefault="00B57607" w:rsidP="001D2540">
      <w:pPr>
        <w:rPr>
          <w:i/>
          <w:sz w:val="20"/>
        </w:rPr>
      </w:pPr>
    </w:p>
    <w:p w14:paraId="7604BB16" w14:textId="77777777" w:rsidR="00B57607" w:rsidRDefault="00B57607" w:rsidP="001D2540">
      <w:pPr>
        <w:rPr>
          <w:i/>
          <w:sz w:val="20"/>
        </w:rPr>
      </w:pPr>
    </w:p>
    <w:p w14:paraId="2E8A33C7" w14:textId="77777777" w:rsidR="00B57607" w:rsidRDefault="00B57607" w:rsidP="001D2540"/>
    <w:p w14:paraId="06F12BA5" w14:textId="77777777" w:rsidR="005A41E6" w:rsidRPr="009A20F0" w:rsidRDefault="005A41E6" w:rsidP="005A41E6">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p w14:paraId="6D23FDF4" w14:textId="77777777" w:rsidR="00B57607" w:rsidRDefault="00B57607" w:rsidP="001D2540">
      <w:pPr>
        <w:rPr>
          <w:i/>
        </w:rPr>
      </w:pPr>
    </w:p>
    <w:p w14:paraId="18D26F81" w14:textId="77777777" w:rsidR="00B57607" w:rsidRDefault="00B57607" w:rsidP="001D2540">
      <w:pPr>
        <w:rPr>
          <w:i/>
        </w:rPr>
      </w:pPr>
    </w:p>
    <w:p w14:paraId="3DD84FB0" w14:textId="77777777" w:rsidR="00B57607" w:rsidRDefault="00B57607" w:rsidP="001D2540">
      <w:pPr>
        <w:rPr>
          <w:i/>
        </w:rPr>
      </w:pPr>
    </w:p>
    <w:p w14:paraId="2E75F40C" w14:textId="77777777" w:rsidR="00B57607" w:rsidRDefault="00B57607" w:rsidP="001D2540">
      <w:pPr>
        <w:rPr>
          <w:i/>
        </w:rPr>
      </w:pPr>
    </w:p>
    <w:p w14:paraId="7E20336B" w14:textId="77777777" w:rsidR="00B57607" w:rsidRDefault="00B57607" w:rsidP="001D2540">
      <w:pPr>
        <w:rPr>
          <w:i/>
        </w:rPr>
      </w:pPr>
    </w:p>
    <w:p w14:paraId="34617F84" w14:textId="77777777" w:rsidR="00B57607" w:rsidRDefault="00B57607" w:rsidP="001D2540">
      <w:pPr>
        <w:rPr>
          <w:i/>
        </w:rPr>
      </w:pPr>
    </w:p>
    <w:p w14:paraId="1B65B74F" w14:textId="77777777" w:rsidR="00B57607" w:rsidRDefault="00B57607" w:rsidP="001D2540">
      <w:pPr>
        <w:rPr>
          <w:i/>
        </w:rPr>
      </w:pPr>
    </w:p>
    <w:p w14:paraId="283608B3" w14:textId="77777777" w:rsidR="00B57607" w:rsidRDefault="00B57607" w:rsidP="001D2540">
      <w:pPr>
        <w:rPr>
          <w:i/>
        </w:rPr>
      </w:pPr>
    </w:p>
    <w:p w14:paraId="3BF87AF1" w14:textId="77777777" w:rsidR="00B57607" w:rsidRDefault="00B57607" w:rsidP="001D2540">
      <w:pPr>
        <w:rPr>
          <w:i/>
        </w:rPr>
      </w:pPr>
    </w:p>
    <w:p w14:paraId="46914711" w14:textId="77777777" w:rsidR="00B57607" w:rsidRDefault="00B57607" w:rsidP="001D2540">
      <w:pPr>
        <w:rPr>
          <w:i/>
        </w:rPr>
      </w:pPr>
    </w:p>
    <w:p w14:paraId="4E603702" w14:textId="77777777" w:rsidR="00B57607" w:rsidRDefault="00B57607" w:rsidP="001D2540">
      <w:pPr>
        <w:rPr>
          <w:i/>
        </w:rPr>
      </w:pPr>
    </w:p>
    <w:p w14:paraId="5C2B2DC7" w14:textId="77777777" w:rsidR="00B57607" w:rsidRDefault="00B57607" w:rsidP="001D2540">
      <w:pPr>
        <w:rPr>
          <w:i/>
        </w:rPr>
      </w:pPr>
    </w:p>
    <w:p w14:paraId="7F881444" w14:textId="77777777" w:rsidR="00B57607" w:rsidRDefault="00B57607" w:rsidP="001D2540">
      <w:pPr>
        <w:rPr>
          <w:i/>
        </w:rPr>
      </w:pPr>
    </w:p>
    <w:p w14:paraId="227E60E7" w14:textId="77777777" w:rsidR="00B57607" w:rsidRDefault="00B57607" w:rsidP="001D2540">
      <w:pPr>
        <w:rPr>
          <w:i/>
        </w:rPr>
      </w:pPr>
    </w:p>
    <w:p w14:paraId="65583C7B" w14:textId="77777777" w:rsidR="00B57607" w:rsidRDefault="00B57607" w:rsidP="001D2540">
      <w:pPr>
        <w:rPr>
          <w:i/>
        </w:rPr>
      </w:pPr>
    </w:p>
    <w:p w14:paraId="05152E3A" w14:textId="77777777" w:rsidR="00B57607" w:rsidRDefault="00B57607" w:rsidP="001D2540">
      <w:pPr>
        <w:rPr>
          <w:i/>
        </w:rPr>
      </w:pPr>
    </w:p>
    <w:p w14:paraId="189B1DFF" w14:textId="77777777" w:rsidR="00B57607" w:rsidRPr="00B57607" w:rsidRDefault="00B57607" w:rsidP="001D2540">
      <w:pPr>
        <w:rPr>
          <w:i/>
        </w:rPr>
      </w:pPr>
    </w:p>
    <w:p w14:paraId="11DA7896" w14:textId="77777777" w:rsidR="002654DD" w:rsidRPr="004B4CE7" w:rsidRDefault="002654DD" w:rsidP="001D2540"/>
    <w:sectPr w:rsidR="002654DD" w:rsidRPr="004B4CE7" w:rsidSect="003E4F02">
      <w:footerReference w:type="default" r:id="rId10"/>
      <w:pgSz w:w="12240" w:h="15840"/>
      <w:pgMar w:top="153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00E707" w14:textId="77777777" w:rsidR="005A41E6" w:rsidRDefault="005A41E6" w:rsidP="00BA6341">
      <w:r>
        <w:separator/>
      </w:r>
    </w:p>
  </w:endnote>
  <w:endnote w:type="continuationSeparator" w:id="0">
    <w:p w14:paraId="5559E12C" w14:textId="77777777" w:rsidR="005A41E6" w:rsidRDefault="005A41E6"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E108B" w14:textId="77777777" w:rsidR="005A41E6" w:rsidRPr="004B6382" w:rsidRDefault="005A41E6"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i/>
        <w:sz w:val="22"/>
      </w:rPr>
      <w:fldChar w:fldCharType="begin"/>
    </w:r>
    <w:r>
      <w:rPr>
        <w:i/>
        <w:sz w:val="22"/>
      </w:rPr>
      <w:instrText xml:space="preserve"> PAGE  \* Arabic  \* MERGEFORMAT </w:instrText>
    </w:r>
    <w:r>
      <w:rPr>
        <w:i/>
        <w:sz w:val="22"/>
      </w:rPr>
      <w:fldChar w:fldCharType="separate"/>
    </w:r>
    <w:r w:rsidR="000B6421">
      <w:rPr>
        <w:i/>
        <w:noProof/>
        <w:sz w:val="22"/>
      </w:rPr>
      <w:t>2</w:t>
    </w:r>
    <w:r>
      <w:rPr>
        <w:i/>
        <w:sz w:val="22"/>
      </w:rPr>
      <w:fldChar w:fldCharType="end"/>
    </w:r>
    <w:r>
      <w:rPr>
        <w:i/>
        <w:sz w:val="22"/>
      </w:rPr>
      <w:t xml:space="preserve"> of </w:t>
    </w:r>
    <w:r w:rsidR="000B6421">
      <w:fldChar w:fldCharType="begin"/>
    </w:r>
    <w:r w:rsidR="000B6421">
      <w:instrText xml:space="preserve"> NUMPAGES  \* Arabic  \* MERGEFORMAT </w:instrText>
    </w:r>
    <w:r w:rsidR="000B6421">
      <w:fldChar w:fldCharType="separate"/>
    </w:r>
    <w:r w:rsidR="000B6421" w:rsidRPr="000B6421">
      <w:rPr>
        <w:i/>
        <w:noProof/>
        <w:sz w:val="22"/>
      </w:rPr>
      <w:t>3</w:t>
    </w:r>
    <w:r w:rsidR="000B6421">
      <w:rPr>
        <w:i/>
        <w:noProof/>
        <w:sz w:val="22"/>
      </w:rPr>
      <w:fldChar w:fldCharType="end"/>
    </w:r>
  </w:p>
  <w:p w14:paraId="4C5D6A41" w14:textId="77777777" w:rsidR="005A41E6" w:rsidRDefault="005A41E6" w:rsidP="00BA6341">
    <w:pPr>
      <w:pStyle w:val="Footer"/>
    </w:pPr>
    <w:r w:rsidRPr="004B6382">
      <w:rPr>
        <w:i/>
        <w:sz w:val="22"/>
      </w:rPr>
      <w:fldChar w:fldCharType="begin"/>
    </w:r>
    <w:r w:rsidRPr="004B6382">
      <w:rPr>
        <w:i/>
        <w:sz w:val="22"/>
      </w:rPr>
      <w:instrText xml:space="preserve"> FILENAME </w:instrText>
    </w:r>
    <w:r w:rsidRPr="004B6382">
      <w:rPr>
        <w:i/>
        <w:sz w:val="22"/>
      </w:rPr>
      <w:fldChar w:fldCharType="separate"/>
    </w:r>
    <w:r w:rsidR="003E4F02">
      <w:rPr>
        <w:i/>
        <w:noProof/>
        <w:sz w:val="22"/>
      </w:rPr>
      <w:t>App_Intro_History_LM_MAP_IG_May2017.docx</w:t>
    </w:r>
    <w:r w:rsidRPr="004B6382">
      <w:rPr>
        <w:i/>
        <w:sz w:val="22"/>
      </w:rPr>
      <w:fldChar w:fldCharType="end"/>
    </w:r>
    <w:r>
      <w:rPr>
        <w:i/>
        <w:sz w:val="22"/>
      </w:rPr>
      <w:tab/>
    </w:r>
    <w:r>
      <w:rPr>
        <w:i/>
        <w:sz w:val="22"/>
      </w:rPr>
      <w:tab/>
      <w:t>History of MEMS Learning Module Map</w:t>
    </w:r>
    <w:r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0C7C5" w14:textId="77777777" w:rsidR="005A41E6" w:rsidRDefault="005A41E6" w:rsidP="00BA6341">
      <w:r>
        <w:separator/>
      </w:r>
    </w:p>
  </w:footnote>
  <w:footnote w:type="continuationSeparator" w:id="0">
    <w:p w14:paraId="070A01F9" w14:textId="77777777" w:rsidR="005A41E6" w:rsidRDefault="005A41E6"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02089"/>
    <w:rsid w:val="000169F6"/>
    <w:rsid w:val="00022697"/>
    <w:rsid w:val="00057F31"/>
    <w:rsid w:val="00062385"/>
    <w:rsid w:val="0006519B"/>
    <w:rsid w:val="0006672A"/>
    <w:rsid w:val="000814EE"/>
    <w:rsid w:val="0008239A"/>
    <w:rsid w:val="000A01B1"/>
    <w:rsid w:val="000A38BE"/>
    <w:rsid w:val="000A691F"/>
    <w:rsid w:val="000B6421"/>
    <w:rsid w:val="000E2A81"/>
    <w:rsid w:val="000F0261"/>
    <w:rsid w:val="00127329"/>
    <w:rsid w:val="00143292"/>
    <w:rsid w:val="001549D5"/>
    <w:rsid w:val="001636A6"/>
    <w:rsid w:val="00173F72"/>
    <w:rsid w:val="0017762C"/>
    <w:rsid w:val="001872F7"/>
    <w:rsid w:val="001A137A"/>
    <w:rsid w:val="001A2987"/>
    <w:rsid w:val="001A6B62"/>
    <w:rsid w:val="001C2FA7"/>
    <w:rsid w:val="001C7CC7"/>
    <w:rsid w:val="001D2540"/>
    <w:rsid w:val="001D5176"/>
    <w:rsid w:val="001E2956"/>
    <w:rsid w:val="001F75D7"/>
    <w:rsid w:val="00206839"/>
    <w:rsid w:val="00225FD2"/>
    <w:rsid w:val="00245147"/>
    <w:rsid w:val="00250C91"/>
    <w:rsid w:val="0026048B"/>
    <w:rsid w:val="00262992"/>
    <w:rsid w:val="002654DD"/>
    <w:rsid w:val="002657CD"/>
    <w:rsid w:val="002B75B8"/>
    <w:rsid w:val="002F2305"/>
    <w:rsid w:val="002F4555"/>
    <w:rsid w:val="0031160F"/>
    <w:rsid w:val="0031544F"/>
    <w:rsid w:val="00330D8E"/>
    <w:rsid w:val="00331C35"/>
    <w:rsid w:val="00344BEB"/>
    <w:rsid w:val="003A6557"/>
    <w:rsid w:val="003C6931"/>
    <w:rsid w:val="003E4F02"/>
    <w:rsid w:val="003F6700"/>
    <w:rsid w:val="00404EA6"/>
    <w:rsid w:val="00410AEB"/>
    <w:rsid w:val="00425E92"/>
    <w:rsid w:val="004467E4"/>
    <w:rsid w:val="0048434C"/>
    <w:rsid w:val="00487F7E"/>
    <w:rsid w:val="004A6066"/>
    <w:rsid w:val="004B4CE7"/>
    <w:rsid w:val="004E1D21"/>
    <w:rsid w:val="004E405A"/>
    <w:rsid w:val="004E56CF"/>
    <w:rsid w:val="004F237F"/>
    <w:rsid w:val="005218D5"/>
    <w:rsid w:val="00522899"/>
    <w:rsid w:val="00556465"/>
    <w:rsid w:val="005658F7"/>
    <w:rsid w:val="00584D29"/>
    <w:rsid w:val="00594AFF"/>
    <w:rsid w:val="005A41E6"/>
    <w:rsid w:val="005B5C3F"/>
    <w:rsid w:val="005D033C"/>
    <w:rsid w:val="005D6E1C"/>
    <w:rsid w:val="005E6CED"/>
    <w:rsid w:val="005F432B"/>
    <w:rsid w:val="00630BB9"/>
    <w:rsid w:val="006537B7"/>
    <w:rsid w:val="00661215"/>
    <w:rsid w:val="006714D8"/>
    <w:rsid w:val="006C2A7B"/>
    <w:rsid w:val="006E694C"/>
    <w:rsid w:val="006F1313"/>
    <w:rsid w:val="0073720E"/>
    <w:rsid w:val="0073779E"/>
    <w:rsid w:val="00740211"/>
    <w:rsid w:val="00750B14"/>
    <w:rsid w:val="00751C91"/>
    <w:rsid w:val="00760733"/>
    <w:rsid w:val="0077389A"/>
    <w:rsid w:val="007817E7"/>
    <w:rsid w:val="007A2717"/>
    <w:rsid w:val="007A3184"/>
    <w:rsid w:val="007B1758"/>
    <w:rsid w:val="007C391B"/>
    <w:rsid w:val="007C60BC"/>
    <w:rsid w:val="007C6E8F"/>
    <w:rsid w:val="00800781"/>
    <w:rsid w:val="008067B1"/>
    <w:rsid w:val="008520AE"/>
    <w:rsid w:val="008613B8"/>
    <w:rsid w:val="00881FB3"/>
    <w:rsid w:val="00901EFE"/>
    <w:rsid w:val="00913220"/>
    <w:rsid w:val="00920724"/>
    <w:rsid w:val="00937958"/>
    <w:rsid w:val="00994CF3"/>
    <w:rsid w:val="009C30A7"/>
    <w:rsid w:val="009D2299"/>
    <w:rsid w:val="009D5E10"/>
    <w:rsid w:val="00A039E7"/>
    <w:rsid w:val="00A12704"/>
    <w:rsid w:val="00A17F09"/>
    <w:rsid w:val="00A37C88"/>
    <w:rsid w:val="00A61210"/>
    <w:rsid w:val="00AB2059"/>
    <w:rsid w:val="00AE21A9"/>
    <w:rsid w:val="00AE3E1C"/>
    <w:rsid w:val="00AF7F5F"/>
    <w:rsid w:val="00B456A3"/>
    <w:rsid w:val="00B45A75"/>
    <w:rsid w:val="00B50656"/>
    <w:rsid w:val="00B57607"/>
    <w:rsid w:val="00B8466D"/>
    <w:rsid w:val="00B91B67"/>
    <w:rsid w:val="00B95584"/>
    <w:rsid w:val="00BA6341"/>
    <w:rsid w:val="00BA7206"/>
    <w:rsid w:val="00BD64A7"/>
    <w:rsid w:val="00BE5B3A"/>
    <w:rsid w:val="00BF3657"/>
    <w:rsid w:val="00BF4198"/>
    <w:rsid w:val="00BF487C"/>
    <w:rsid w:val="00C42FCF"/>
    <w:rsid w:val="00C97637"/>
    <w:rsid w:val="00CC187F"/>
    <w:rsid w:val="00D149F2"/>
    <w:rsid w:val="00D42CC8"/>
    <w:rsid w:val="00D54874"/>
    <w:rsid w:val="00D817C6"/>
    <w:rsid w:val="00D82475"/>
    <w:rsid w:val="00D8382D"/>
    <w:rsid w:val="00D8498E"/>
    <w:rsid w:val="00D95B57"/>
    <w:rsid w:val="00DA09EB"/>
    <w:rsid w:val="00DE0103"/>
    <w:rsid w:val="00E35F68"/>
    <w:rsid w:val="00E44C39"/>
    <w:rsid w:val="00E6094C"/>
    <w:rsid w:val="00E9624A"/>
    <w:rsid w:val="00EB1BE3"/>
    <w:rsid w:val="00EC3CD8"/>
    <w:rsid w:val="00EF49B6"/>
    <w:rsid w:val="00F00AB7"/>
    <w:rsid w:val="00F07C01"/>
    <w:rsid w:val="00F11287"/>
    <w:rsid w:val="00F22695"/>
    <w:rsid w:val="00F32FF3"/>
    <w:rsid w:val="00F704EE"/>
    <w:rsid w:val="00F72D7E"/>
    <w:rsid w:val="00F743A5"/>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BDB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579</Words>
  <Characters>3304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3876</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2</cp:revision>
  <cp:lastPrinted>2010-05-31T22:07:00Z</cp:lastPrinted>
  <dcterms:created xsi:type="dcterms:W3CDTF">2017-05-04T16:44:00Z</dcterms:created>
  <dcterms:modified xsi:type="dcterms:W3CDTF">2017-05-10T16:27:00Z</dcterms:modified>
</cp:coreProperties>
</file>