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56E44" w14:textId="77777777" w:rsidR="00582166" w:rsidRDefault="005821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6643BEE" w14:textId="77777777" w:rsidTr="00040D31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7141F1E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9FA717B" w14:textId="77777777" w:rsidR="006217F2" w:rsidRDefault="00AE2487" w:rsidP="00D11481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7E03C4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07512EF" w14:textId="77777777" w:rsidR="006217F2" w:rsidRDefault="006217F2" w:rsidP="00DF54BA"/>
        </w:tc>
      </w:tr>
    </w:tbl>
    <w:p w14:paraId="2E5C02E3" w14:textId="77777777" w:rsidR="006D1F03" w:rsidRDefault="0082418B" w:rsidP="0000024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Capillary </w:t>
      </w:r>
      <w:r w:rsidR="00AA500A">
        <w:rPr>
          <w:b/>
          <w:sz w:val="48"/>
          <w:szCs w:val="48"/>
        </w:rPr>
        <w:t>Action</w:t>
      </w:r>
      <w:r>
        <w:rPr>
          <w:b/>
          <w:sz w:val="48"/>
          <w:szCs w:val="48"/>
        </w:rPr>
        <w:t xml:space="preserve"> Activity</w:t>
      </w:r>
    </w:p>
    <w:p w14:paraId="1AE787BF" w14:textId="77777777" w:rsidR="006D1F03" w:rsidRPr="006D1F03" w:rsidRDefault="006D1F03" w:rsidP="0005565C">
      <w:pPr>
        <w:jc w:val="center"/>
        <w:rPr>
          <w:sz w:val="32"/>
          <w:szCs w:val="48"/>
        </w:rPr>
      </w:pPr>
      <w:r w:rsidRPr="006D1F03">
        <w:rPr>
          <w:sz w:val="32"/>
          <w:szCs w:val="48"/>
        </w:rPr>
        <w:t>Micropumps Learning Module</w:t>
      </w:r>
    </w:p>
    <w:p w14:paraId="3F4F7697" w14:textId="77777777" w:rsidR="0005565C" w:rsidRPr="001A7425" w:rsidRDefault="0005565C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</w:t>
      </w:r>
      <w:r w:rsidRPr="001A7425">
        <w:rPr>
          <w:b/>
          <w:sz w:val="36"/>
          <w:szCs w:val="36"/>
        </w:rPr>
        <w:t xml:space="preserve"> Guide</w:t>
      </w:r>
    </w:p>
    <w:p w14:paraId="66854E47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C33B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7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040D31" w14:paraId="2C597AE5" w14:textId="77777777" w:rsidTr="00040D31">
        <w:trPr>
          <w:cantSplit/>
          <w:trHeight w:val="143"/>
          <w:tblHeader/>
        </w:trPr>
        <w:tc>
          <w:tcPr>
            <w:tcW w:w="295" w:type="dxa"/>
          </w:tcPr>
          <w:p w14:paraId="2318E850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10735" w:type="dxa"/>
            <w:gridSpan w:val="2"/>
          </w:tcPr>
          <w:p w14:paraId="0D951BD5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</w:p>
        </w:tc>
      </w:tr>
      <w:tr w:rsidR="0061324D" w:rsidRPr="00040D31" w14:paraId="1F1EFC3C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7FCC65B9" w14:textId="77777777" w:rsidR="0061324D" w:rsidRPr="00B960A3" w:rsidRDefault="0061324D" w:rsidP="00040D31">
            <w:pPr>
              <w:pStyle w:val="BodyText"/>
              <w:keepNext/>
              <w:keepLines/>
            </w:pPr>
            <w:bookmarkStart w:id="1" w:name="App_Pumps_AC11_dldl165"/>
            <w:bookmarkEnd w:id="0"/>
          </w:p>
        </w:tc>
        <w:tc>
          <w:tcPr>
            <w:tcW w:w="10735" w:type="dxa"/>
            <w:gridSpan w:val="2"/>
            <w:vAlign w:val="bottom"/>
          </w:tcPr>
          <w:p w14:paraId="5F6775CC" w14:textId="77777777" w:rsidR="0061324D" w:rsidRPr="00040D31" w:rsidRDefault="0061324D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Notes to Instructor</w:t>
            </w:r>
          </w:p>
        </w:tc>
      </w:tr>
      <w:tr w:rsidR="0061324D" w:rsidRPr="00040D31" w14:paraId="74D465C6" w14:textId="77777777" w:rsidTr="00040D31">
        <w:tc>
          <w:tcPr>
            <w:tcW w:w="295" w:type="dxa"/>
          </w:tcPr>
          <w:p w14:paraId="02BF5D92" w14:textId="77777777" w:rsidR="0061324D" w:rsidRPr="00040D31" w:rsidRDefault="0061324D" w:rsidP="0061324D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35" w:type="dxa"/>
            <w:gridSpan w:val="2"/>
          </w:tcPr>
          <w:p w14:paraId="0275605E" w14:textId="77777777" w:rsidR="0082418B" w:rsidRPr="00040D31" w:rsidRDefault="0082418B" w:rsidP="00040D31">
            <w:pPr>
              <w:keepNext/>
              <w:keepLines/>
              <w:rPr>
                <w:color w:val="000000"/>
              </w:rPr>
            </w:pPr>
          </w:p>
          <w:p w14:paraId="6BFE9DB6" w14:textId="77777777" w:rsidR="0061324D" w:rsidRDefault="0061324D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The Capillary </w:t>
            </w:r>
            <w:r w:rsidR="00AA500A" w:rsidRPr="00040D31">
              <w:rPr>
                <w:color w:val="000000"/>
              </w:rPr>
              <w:t>Action</w:t>
            </w:r>
            <w:r w:rsidRPr="00040D31">
              <w:rPr>
                <w:color w:val="000000"/>
              </w:rPr>
              <w:t xml:space="preserve"> Activity is an activity for the </w:t>
            </w:r>
            <w:r w:rsidRPr="00000243">
              <w:rPr>
                <w:i/>
                <w:color w:val="000000"/>
              </w:rPr>
              <w:t xml:space="preserve">Micropumps Overview </w:t>
            </w:r>
            <w:r w:rsidR="006D1F03" w:rsidRPr="00000243">
              <w:rPr>
                <w:i/>
                <w:color w:val="000000"/>
              </w:rPr>
              <w:t>Learning Module</w:t>
            </w:r>
            <w:r w:rsidRPr="00040D31">
              <w:rPr>
                <w:color w:val="000000"/>
              </w:rPr>
              <w:t xml:space="preserve">. </w:t>
            </w:r>
          </w:p>
          <w:p w14:paraId="21F53C5C" w14:textId="77777777" w:rsidR="00000243" w:rsidRPr="00040D31" w:rsidRDefault="00000243" w:rsidP="00040D31">
            <w:pPr>
              <w:keepNext/>
              <w:keepLines/>
              <w:rPr>
                <w:color w:val="000000"/>
              </w:rPr>
            </w:pPr>
          </w:p>
          <w:p w14:paraId="58196153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Following is a list of the </w:t>
            </w:r>
            <w:r w:rsidR="00000243">
              <w:rPr>
                <w:color w:val="000000"/>
              </w:rPr>
              <w:t>unit</w:t>
            </w:r>
            <w:r w:rsidRPr="00040D31">
              <w:rPr>
                <w:color w:val="000000"/>
              </w:rPr>
              <w:t xml:space="preserve">s included in the </w:t>
            </w:r>
            <w:r w:rsidRPr="00000243">
              <w:rPr>
                <w:i/>
                <w:color w:val="000000"/>
              </w:rPr>
              <w:t xml:space="preserve">Micropumps Overview </w:t>
            </w:r>
            <w:r w:rsidR="006D1F03" w:rsidRPr="00000243">
              <w:rPr>
                <w:i/>
                <w:color w:val="000000"/>
              </w:rPr>
              <w:t>Learning Module</w:t>
            </w:r>
            <w:r w:rsidRPr="00040D31">
              <w:rPr>
                <w:color w:val="000000"/>
              </w:rPr>
              <w:t xml:space="preserve">.  </w:t>
            </w:r>
          </w:p>
          <w:p w14:paraId="60B78711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</w:p>
          <w:p w14:paraId="7BC56FD0" w14:textId="77777777" w:rsidR="006D1F03" w:rsidRPr="006D1F03" w:rsidRDefault="006D1F03" w:rsidP="0061324D">
            <w:pPr>
              <w:pStyle w:val="BulletList"/>
            </w:pPr>
            <w:r>
              <w:t>Micropumps Knowledge Probe (KP) - Pretest</w:t>
            </w:r>
          </w:p>
          <w:p w14:paraId="605F7A31" w14:textId="77777777" w:rsidR="0061324D" w:rsidRDefault="0061324D" w:rsidP="0061324D">
            <w:pPr>
              <w:pStyle w:val="BulletList"/>
            </w:pPr>
            <w:r w:rsidRPr="00040D31">
              <w:rPr>
                <w:color w:val="000000"/>
              </w:rPr>
              <w:t>Micropum</w:t>
            </w:r>
            <w:r w:rsidR="006D1F03" w:rsidRPr="00040D31">
              <w:rPr>
                <w:color w:val="000000"/>
              </w:rPr>
              <w:t>ps Overview Primary Knowledge</w:t>
            </w:r>
          </w:p>
          <w:p w14:paraId="49DF9EEA" w14:textId="77777777" w:rsidR="006D1F03" w:rsidRPr="00040D31" w:rsidRDefault="00DD4C29" w:rsidP="0061324D">
            <w:pPr>
              <w:pStyle w:val="BulletList"/>
              <w:rPr>
                <w:b/>
              </w:rPr>
            </w:pPr>
            <w:r>
              <w:rPr>
                <w:color w:val="000000"/>
              </w:rPr>
              <w:t>Diaphragm</w:t>
            </w:r>
            <w:r w:rsidR="006D1F03" w:rsidRPr="00040D31">
              <w:rPr>
                <w:color w:val="000000"/>
              </w:rPr>
              <w:t xml:space="preserve"> </w:t>
            </w:r>
            <w:r w:rsidR="0061324D" w:rsidRPr="00040D31">
              <w:rPr>
                <w:color w:val="000000"/>
              </w:rPr>
              <w:t>Pump Activity</w:t>
            </w:r>
          </w:p>
          <w:p w14:paraId="22E04D2D" w14:textId="77777777" w:rsidR="0061324D" w:rsidRPr="00040D31" w:rsidRDefault="0061324D" w:rsidP="0061324D">
            <w:pPr>
              <w:pStyle w:val="BulletList"/>
              <w:rPr>
                <w:b/>
              </w:rPr>
            </w:pPr>
            <w:r w:rsidRPr="00040D31">
              <w:rPr>
                <w:b/>
                <w:color w:val="000000"/>
              </w:rPr>
              <w:t xml:space="preserve">Capillary </w:t>
            </w:r>
            <w:r w:rsidR="00AA500A" w:rsidRPr="00040D31">
              <w:rPr>
                <w:b/>
                <w:color w:val="000000"/>
              </w:rPr>
              <w:t>Action</w:t>
            </w:r>
            <w:r w:rsidRPr="00040D31">
              <w:rPr>
                <w:b/>
                <w:color w:val="000000"/>
              </w:rPr>
              <w:t xml:space="preserve"> Activity</w:t>
            </w:r>
          </w:p>
          <w:p w14:paraId="11FD8CD8" w14:textId="77777777" w:rsidR="0061324D" w:rsidRDefault="0061324D" w:rsidP="0061324D">
            <w:pPr>
              <w:pStyle w:val="BulletList"/>
            </w:pPr>
            <w:r w:rsidRPr="00040D31">
              <w:rPr>
                <w:color w:val="000000"/>
              </w:rPr>
              <w:t>Micropumps Overview Final Assessment</w:t>
            </w:r>
          </w:p>
          <w:p w14:paraId="4710F79C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</w:p>
          <w:p w14:paraId="70F7FDE6" w14:textId="77777777" w:rsidR="0061324D" w:rsidRPr="00040D31" w:rsidRDefault="006D1F0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 </w:t>
            </w:r>
          </w:p>
        </w:tc>
      </w:tr>
      <w:tr w:rsidR="0005786E" w:rsidRPr="00040D31" w14:paraId="1B5960A1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13515BA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2" w:name="App_Pumps_AC11_dldl108"/>
            <w:bookmarkEnd w:id="1"/>
          </w:p>
        </w:tc>
        <w:tc>
          <w:tcPr>
            <w:tcW w:w="10710" w:type="dxa"/>
            <w:vAlign w:val="bottom"/>
          </w:tcPr>
          <w:p w14:paraId="333535B0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Description and Estimated Time to Complete</w:t>
            </w:r>
          </w:p>
        </w:tc>
      </w:tr>
      <w:tr w:rsidR="0005786E" w:rsidRPr="00040D31" w14:paraId="234BEA92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4EDCC319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06358248" w14:textId="77777777" w:rsidR="0082418B" w:rsidRPr="00040D31" w:rsidRDefault="0082418B" w:rsidP="00040D31">
            <w:pPr>
              <w:keepNext/>
              <w:keepLines/>
              <w:rPr>
                <w:color w:val="000000"/>
              </w:rPr>
            </w:pPr>
          </w:p>
          <w:p w14:paraId="4DD3C2B9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>This activity demonstrate</w:t>
            </w:r>
            <w:r w:rsidR="006D1F03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the capillary effect, and how liquids can flow without extern</w:t>
            </w:r>
            <w:r w:rsidR="006D1F03" w:rsidRPr="00040D31">
              <w:rPr>
                <w:color w:val="000000"/>
              </w:rPr>
              <w:t xml:space="preserve">al input energy.  You </w:t>
            </w:r>
            <w:r w:rsidRPr="00040D31">
              <w:rPr>
                <w:color w:val="000000"/>
              </w:rPr>
              <w:t xml:space="preserve">explore the limits of capillary </w:t>
            </w:r>
            <w:r w:rsidR="00AA500A" w:rsidRPr="00040D31">
              <w:rPr>
                <w:color w:val="000000"/>
              </w:rPr>
              <w:t>action</w:t>
            </w:r>
            <w:r w:rsidR="006D1F03" w:rsidRPr="00040D31">
              <w:rPr>
                <w:color w:val="000000"/>
              </w:rPr>
              <w:t xml:space="preserve"> and </w:t>
            </w:r>
            <w:r w:rsidR="003C1A97">
              <w:rPr>
                <w:color w:val="000000"/>
              </w:rPr>
              <w:t>the scale at which this action occurs.</w:t>
            </w:r>
          </w:p>
          <w:p w14:paraId="4FE20062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2C358CE4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Estimated Time to Complete</w:t>
            </w:r>
          </w:p>
          <w:p w14:paraId="1D6ABFC7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>Allow at least 30 minutes to complete this activity.</w:t>
            </w:r>
          </w:p>
        </w:tc>
      </w:tr>
      <w:tr w:rsidR="0005786E" w:rsidRPr="00040D31" w14:paraId="3A093451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32729C2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3" w:name="App_Pumps_AC11_dldl76"/>
            <w:bookmarkEnd w:id="2"/>
          </w:p>
        </w:tc>
        <w:tc>
          <w:tcPr>
            <w:tcW w:w="10710" w:type="dxa"/>
            <w:vAlign w:val="bottom"/>
          </w:tcPr>
          <w:p w14:paraId="71DCADEC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Introduction</w:t>
            </w:r>
          </w:p>
        </w:tc>
      </w:tr>
      <w:tr w:rsidR="0005786E" w:rsidRPr="00040D31" w14:paraId="3D60EB78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0E28CB64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4E0F6523" w14:textId="77777777" w:rsidR="0005786E" w:rsidRPr="00040D31" w:rsidRDefault="00AD3FC7" w:rsidP="00040D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274A86C" wp14:editId="706DE96F">
                  <wp:extent cx="4394200" cy="2209800"/>
                  <wp:effectExtent l="0" t="0" r="0" b="0"/>
                  <wp:docPr id="3" name="Picture 3" descr="C:\xtProject\App_Pumps_AC11\graphics\microchann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xtProject\App_Pumps_AC11\graphics\microchann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7D731" w14:textId="77777777" w:rsidR="0082418B" w:rsidRPr="00040D31" w:rsidRDefault="0082418B" w:rsidP="00040D31">
            <w:pPr>
              <w:pStyle w:val="Caption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0D31">
              <w:rPr>
                <w:rFonts w:ascii="Times New Roman" w:hAnsi="Times New Roman"/>
                <w:i/>
                <w:sz w:val="24"/>
                <w:szCs w:val="24"/>
              </w:rPr>
              <w:t>Microchannel from a Piezoelectric Inkjet Printhead</w:t>
            </w:r>
          </w:p>
          <w:p w14:paraId="24F746B9" w14:textId="77777777" w:rsidR="0082418B" w:rsidRPr="00040D31" w:rsidRDefault="0082418B" w:rsidP="00040D31">
            <w:pPr>
              <w:jc w:val="center"/>
              <w:rPr>
                <w:sz w:val="22"/>
                <w:szCs w:val="22"/>
              </w:rPr>
            </w:pPr>
          </w:p>
        </w:tc>
      </w:tr>
      <w:tr w:rsidR="0005786E" w:rsidRPr="00040D31" w14:paraId="1F09B5F0" w14:textId="77777777" w:rsidTr="00040D31">
        <w:trPr>
          <w:gridAfter w:val="1"/>
          <w:wAfter w:w="25" w:type="dxa"/>
          <w:cantSplit/>
        </w:trPr>
        <w:tc>
          <w:tcPr>
            <w:tcW w:w="295" w:type="dxa"/>
          </w:tcPr>
          <w:p w14:paraId="4A362047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19811ACA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A common application of micropumps is </w:t>
            </w:r>
            <w:r w:rsidR="00AA500A" w:rsidRPr="00040D31">
              <w:rPr>
                <w:color w:val="000000"/>
              </w:rPr>
              <w:t>in</w:t>
            </w:r>
            <w:r w:rsidRPr="00040D31">
              <w:rPr>
                <w:color w:val="000000"/>
              </w:rPr>
              <w:t xml:space="preserve"> inkjet printing.  Inkjet printheads are actually</w:t>
            </w:r>
            <w:r w:rsidR="00AA500A" w:rsidRPr="00040D31">
              <w:rPr>
                <w:color w:val="000000"/>
              </w:rPr>
              <w:t xml:space="preserve"> an array of </w:t>
            </w:r>
            <w:r w:rsidRPr="00040D31">
              <w:rPr>
                <w:color w:val="000000"/>
              </w:rPr>
              <w:t xml:space="preserve">micropumps used to deliver small volumes of liquid (approximately a picoliter) onto paper creating images and text.  Both mechanical and non-mechanical versions of inkjet micropumps are currently in production.  </w:t>
            </w:r>
          </w:p>
          <w:p w14:paraId="08ED6671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167FB33A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One scientific phenomenon </w:t>
            </w:r>
            <w:r w:rsidR="006D1F03" w:rsidRPr="00040D31">
              <w:rPr>
                <w:color w:val="000000"/>
              </w:rPr>
              <w:t>used</w:t>
            </w:r>
            <w:r w:rsidRPr="00040D31">
              <w:rPr>
                <w:color w:val="000000"/>
              </w:rPr>
              <w:t xml:space="preserve"> by inkjet technology is </w:t>
            </w:r>
            <w:r w:rsidR="005239EC" w:rsidRPr="00040D31">
              <w:rPr>
                <w:color w:val="000000"/>
              </w:rPr>
              <w:t>capillary action</w:t>
            </w:r>
            <w:r w:rsidRPr="00040D31">
              <w:rPr>
                <w:color w:val="000000"/>
              </w:rPr>
              <w:t xml:space="preserve">.  </w:t>
            </w:r>
            <w:proofErr w:type="spellStart"/>
            <w:r w:rsidR="006D1F03" w:rsidRPr="00040D31">
              <w:rPr>
                <w:color w:val="000000"/>
              </w:rPr>
              <w:t>Bubblejet</w:t>
            </w:r>
            <w:proofErr w:type="spellEnd"/>
            <w:r w:rsidR="006D1F03" w:rsidRPr="00040D31">
              <w:rPr>
                <w:color w:val="000000"/>
              </w:rPr>
              <w:t xml:space="preserve"> and piezoelectric inkjet</w:t>
            </w:r>
            <w:r w:rsidRPr="00040D31">
              <w:rPr>
                <w:color w:val="000000"/>
              </w:rPr>
              <w:t xml:space="preserve"> printer</w:t>
            </w:r>
            <w:r w:rsidR="006D1F03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use </w:t>
            </w:r>
            <w:proofErr w:type="spellStart"/>
            <w:r w:rsidRPr="00040D31">
              <w:rPr>
                <w:color w:val="000000"/>
              </w:rPr>
              <w:t>microchannels</w:t>
            </w:r>
            <w:proofErr w:type="spellEnd"/>
            <w:r w:rsidRPr="00040D31">
              <w:rPr>
                <w:color w:val="000000"/>
              </w:rPr>
              <w:t xml:space="preserve"> filled with ink.  Because the microchannels' dimensions are so small (approximately a micrometer</w:t>
            </w:r>
            <w:r w:rsidR="006D1F03" w:rsidRPr="00040D31">
              <w:rPr>
                <w:color w:val="000000"/>
              </w:rPr>
              <w:t xml:space="preserve"> in diameter</w:t>
            </w:r>
            <w:r w:rsidRPr="00040D31">
              <w:rPr>
                <w:color w:val="000000"/>
              </w:rPr>
              <w:t xml:space="preserve">) the liquid automatically fills the microchannel due to </w:t>
            </w:r>
            <w:r w:rsidR="005239EC" w:rsidRPr="00040D31">
              <w:rPr>
                <w:color w:val="000000"/>
              </w:rPr>
              <w:t xml:space="preserve">adhesive forces between the liquid </w:t>
            </w:r>
            <w:r w:rsidR="00AA500A" w:rsidRPr="00040D31">
              <w:rPr>
                <w:color w:val="000000"/>
              </w:rPr>
              <w:t>and the surfaces of the channel, and the surface tension of the liquid.</w:t>
            </w:r>
          </w:p>
          <w:p w14:paraId="3C0B780F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05786E" w:rsidRPr="00040D31" w14:paraId="6858EE9D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52956D89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4" w:name="App_Pumps_AC11_dldl77"/>
            <w:bookmarkEnd w:id="3"/>
          </w:p>
        </w:tc>
        <w:tc>
          <w:tcPr>
            <w:tcW w:w="10710" w:type="dxa"/>
            <w:vAlign w:val="bottom"/>
          </w:tcPr>
          <w:p w14:paraId="49980732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Activity Objectives and Outcomes</w:t>
            </w:r>
          </w:p>
        </w:tc>
      </w:tr>
      <w:tr w:rsidR="0005786E" w:rsidRPr="00040D31" w14:paraId="550DC303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36C6FAFE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0A97A2B7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</w:p>
          <w:p w14:paraId="764A020C" w14:textId="77777777" w:rsidR="00AA500A" w:rsidRPr="00040D31" w:rsidRDefault="00AA500A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Activity Objectives</w:t>
            </w:r>
          </w:p>
          <w:p w14:paraId="103D6FB6" w14:textId="77777777" w:rsidR="0005786E" w:rsidRPr="00EF16E2" w:rsidRDefault="00AA500A" w:rsidP="0005786E">
            <w:pPr>
              <w:pStyle w:val="BulletList"/>
            </w:pPr>
            <w:r w:rsidRPr="00040D31">
              <w:rPr>
                <w:color w:val="000000"/>
              </w:rPr>
              <w:t>S</w:t>
            </w:r>
            <w:r w:rsidR="0005786E" w:rsidRPr="00040D31">
              <w:rPr>
                <w:color w:val="000000"/>
              </w:rPr>
              <w:t>imulat</w:t>
            </w:r>
            <w:r w:rsidRPr="00040D31">
              <w:rPr>
                <w:color w:val="000000"/>
              </w:rPr>
              <w:t xml:space="preserve">e the operation of an inkjet </w:t>
            </w:r>
            <w:r w:rsidR="0005786E" w:rsidRPr="00040D31">
              <w:rPr>
                <w:color w:val="000000"/>
              </w:rPr>
              <w:t>printhead</w:t>
            </w:r>
            <w:r w:rsidRPr="00040D31">
              <w:rPr>
                <w:color w:val="000000"/>
              </w:rPr>
              <w:t xml:space="preserve"> by demonstrating capillary action between two narrow channels.</w:t>
            </w:r>
          </w:p>
          <w:p w14:paraId="1FF35B95" w14:textId="77777777" w:rsidR="00EF16E2" w:rsidRDefault="00EF16E2" w:rsidP="0005786E">
            <w:pPr>
              <w:pStyle w:val="BulletList"/>
            </w:pPr>
            <w:r w:rsidRPr="00040D31">
              <w:rPr>
                <w:color w:val="000000"/>
              </w:rPr>
              <w:t xml:space="preserve">Explain </w:t>
            </w:r>
            <w:r w:rsidR="00AA500A" w:rsidRPr="00040D31">
              <w:rPr>
                <w:color w:val="000000"/>
              </w:rPr>
              <w:t>capillary action and how it is affected by the size of the microchannel</w:t>
            </w:r>
            <w:r w:rsidRPr="00040D31">
              <w:rPr>
                <w:color w:val="000000"/>
              </w:rPr>
              <w:t>.</w:t>
            </w:r>
          </w:p>
          <w:p w14:paraId="560D1B06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</w:p>
          <w:p w14:paraId="4FD2A259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Activity Outcomes</w:t>
            </w:r>
          </w:p>
          <w:p w14:paraId="5EAB231F" w14:textId="77777777" w:rsidR="0005786E" w:rsidRDefault="0005786E" w:rsidP="0005786E">
            <w:pPr>
              <w:pStyle w:val="BulletList"/>
            </w:pPr>
            <w:r w:rsidRPr="00040D31">
              <w:rPr>
                <w:color w:val="000000"/>
              </w:rPr>
              <w:t>After completing this experiment, you should have a better</w:t>
            </w:r>
            <w:r w:rsidR="00AA500A" w:rsidRPr="00040D31">
              <w:rPr>
                <w:color w:val="000000"/>
              </w:rPr>
              <w:t xml:space="preserve"> understanding of capillary action and how this</w:t>
            </w:r>
            <w:r w:rsidRPr="00040D31">
              <w:rPr>
                <w:color w:val="000000"/>
              </w:rPr>
              <w:t xml:space="preserve"> phenomenon is used in inkjet printheads.</w:t>
            </w:r>
          </w:p>
          <w:p w14:paraId="666F4097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0BFF21FC" w14:textId="77777777" w:rsidR="0082418B" w:rsidRDefault="0082418B">
      <w:bookmarkStart w:id="5" w:name="App_Pumps_AC11_dldl131"/>
      <w:bookmarkEnd w:id="4"/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</w:tblGrid>
      <w:tr w:rsidR="0005786E" w:rsidRPr="00040D31" w14:paraId="55A4B9FA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55C7767F" w14:textId="77777777" w:rsidR="0005786E" w:rsidRPr="00B960A3" w:rsidRDefault="0005786E" w:rsidP="00040D31">
            <w:pPr>
              <w:pStyle w:val="BodyText"/>
              <w:keepNext/>
              <w:keepLines/>
            </w:pPr>
          </w:p>
        </w:tc>
        <w:tc>
          <w:tcPr>
            <w:tcW w:w="10710" w:type="dxa"/>
            <w:vAlign w:val="bottom"/>
          </w:tcPr>
          <w:p w14:paraId="6019B795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Supplies</w:t>
            </w:r>
          </w:p>
        </w:tc>
      </w:tr>
      <w:tr w:rsidR="0005786E" w:rsidRPr="00040D31" w14:paraId="51A8146D" w14:textId="77777777" w:rsidTr="00040D31">
        <w:tc>
          <w:tcPr>
            <w:tcW w:w="295" w:type="dxa"/>
          </w:tcPr>
          <w:p w14:paraId="2B7F8669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565434C6" w14:textId="77777777" w:rsidR="0082418B" w:rsidRPr="00040D31" w:rsidRDefault="00AD3FC7" w:rsidP="00040D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3A13BFD" wp14:editId="1B872BB5">
                  <wp:simplePos x="0" y="0"/>
                  <wp:positionH relativeFrom="column">
                    <wp:posOffset>3355340</wp:posOffset>
                  </wp:positionH>
                  <wp:positionV relativeFrom="paragraph">
                    <wp:posOffset>162560</wp:posOffset>
                  </wp:positionV>
                  <wp:extent cx="3093085" cy="1887220"/>
                  <wp:effectExtent l="0" t="0" r="5715" b="0"/>
                  <wp:wrapSquare wrapText="bothSides"/>
                  <wp:docPr id="5" name="Picture 2" descr="C:\Users\mj\Documents\My Dropbox\scme-scos\micropump\graphics\capillarysuppl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j\Documents\My Dropbox\scme-scos\micropump\graphics\capillarysuppl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88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796678" w14:textId="77777777" w:rsidR="0005786E" w:rsidRPr="00040D31" w:rsidRDefault="0005786E" w:rsidP="00040D31">
            <w:pPr>
              <w:jc w:val="center"/>
              <w:rPr>
                <w:sz w:val="22"/>
                <w:szCs w:val="22"/>
              </w:rPr>
            </w:pPr>
          </w:p>
          <w:p w14:paraId="075D01EF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Four microscope slides</w:t>
            </w:r>
          </w:p>
          <w:p w14:paraId="161FD683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Food color</w:t>
            </w:r>
          </w:p>
          <w:p w14:paraId="5E752B44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Sheet of paper</w:t>
            </w:r>
          </w:p>
          <w:p w14:paraId="5009BB13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Scissors</w:t>
            </w:r>
          </w:p>
          <w:p w14:paraId="205AACE8" w14:textId="77777777" w:rsidR="0082418B" w:rsidRPr="00040D31" w:rsidRDefault="00EF16E2" w:rsidP="00040D3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040D31">
              <w:rPr>
                <w:color w:val="000000"/>
              </w:rPr>
              <w:t>Two Pennies</w:t>
            </w:r>
          </w:p>
        </w:tc>
      </w:tr>
      <w:tr w:rsidR="0005786E" w:rsidRPr="00040D31" w14:paraId="7668B988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382472C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6" w:name="App_Pumps_AC11_dldl134"/>
            <w:bookmarkEnd w:id="5"/>
          </w:p>
        </w:tc>
        <w:tc>
          <w:tcPr>
            <w:tcW w:w="10710" w:type="dxa"/>
            <w:vAlign w:val="bottom"/>
          </w:tcPr>
          <w:p w14:paraId="69538285" w14:textId="77777777" w:rsidR="0005786E" w:rsidRPr="00040D31" w:rsidRDefault="00EF16E2" w:rsidP="0082418B">
            <w:pPr>
              <w:pStyle w:val="lvl1Text"/>
              <w:rPr>
                <w:b w:val="0"/>
                <w:sz w:val="24"/>
                <w:szCs w:val="24"/>
              </w:rPr>
            </w:pPr>
            <w:r w:rsidRPr="00040D31">
              <w:rPr>
                <w:sz w:val="24"/>
                <w:szCs w:val="24"/>
                <w:u w:val="single"/>
              </w:rPr>
              <w:t xml:space="preserve">Activity:  Capillary </w:t>
            </w:r>
            <w:r w:rsidR="00AA662D">
              <w:rPr>
                <w:sz w:val="24"/>
                <w:szCs w:val="24"/>
                <w:u w:val="single"/>
              </w:rPr>
              <w:t>Action</w:t>
            </w:r>
          </w:p>
          <w:p w14:paraId="43C326CC" w14:textId="77777777" w:rsidR="00EF16E2" w:rsidRPr="00040D31" w:rsidRDefault="00EF16E2" w:rsidP="0082418B">
            <w:pPr>
              <w:pStyle w:val="lvl1Text"/>
              <w:rPr>
                <w:b w:val="0"/>
                <w:sz w:val="24"/>
                <w:szCs w:val="24"/>
              </w:rPr>
            </w:pPr>
            <w:r w:rsidRPr="00040D31">
              <w:rPr>
                <w:b w:val="0"/>
                <w:sz w:val="24"/>
                <w:szCs w:val="24"/>
              </w:rPr>
              <w:t xml:space="preserve"> </w:t>
            </w:r>
          </w:p>
          <w:p w14:paraId="30B42AF7" w14:textId="77777777" w:rsidR="00EF16E2" w:rsidRPr="00040D31" w:rsidRDefault="00EF16E2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Procedure:</w:t>
            </w:r>
          </w:p>
          <w:p w14:paraId="0AE10AD1" w14:textId="77777777" w:rsidR="00EF16E2" w:rsidRPr="00040D31" w:rsidRDefault="00EF16E2" w:rsidP="0082418B">
            <w:pPr>
              <w:pStyle w:val="lvl1Text"/>
              <w:rPr>
                <w:sz w:val="24"/>
                <w:szCs w:val="24"/>
              </w:rPr>
            </w:pPr>
          </w:p>
        </w:tc>
      </w:tr>
      <w:tr w:rsidR="0005786E" w:rsidRPr="00040D31" w14:paraId="6B8309BD" w14:textId="77777777" w:rsidTr="00040D31">
        <w:trPr>
          <w:cantSplit/>
        </w:trPr>
        <w:tc>
          <w:tcPr>
            <w:tcW w:w="295" w:type="dxa"/>
          </w:tcPr>
          <w:p w14:paraId="2AA28CCB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39002149" w14:textId="77777777" w:rsidR="0005786E" w:rsidRPr="00040D31" w:rsidRDefault="00EF16E2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From the sheet of paper, c</w:t>
            </w:r>
            <w:r w:rsidR="0005786E" w:rsidRPr="00040D31">
              <w:rPr>
                <w:color w:val="000000"/>
              </w:rPr>
              <w:t>ut two ¼" x ¼" squares</w:t>
            </w:r>
            <w:r w:rsidRPr="00040D31">
              <w:rPr>
                <w:color w:val="000000"/>
              </w:rPr>
              <w:t>.</w:t>
            </w:r>
          </w:p>
          <w:p w14:paraId="5509C9AE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738B0215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Place these squares of paper on two adjacent corners of a microscope slide.  </w:t>
            </w:r>
          </w:p>
          <w:p w14:paraId="36DBD2B8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2A2FB6AF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Put the second microscope slide on top of the first,</w:t>
            </w:r>
            <w:r w:rsidR="00EF16E2" w:rsidRPr="00040D31">
              <w:rPr>
                <w:color w:val="000000"/>
              </w:rPr>
              <w:t xml:space="preserve"> staggering it, </w:t>
            </w:r>
            <w:r w:rsidRPr="00040D31">
              <w:rPr>
                <w:color w:val="000000"/>
              </w:rPr>
              <w:t xml:space="preserve">leaving about ¼" of the bottom slide’s glass exposed.  </w:t>
            </w:r>
          </w:p>
          <w:p w14:paraId="03802940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66BB2F46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Put a few drop</w:t>
            </w:r>
            <w:r w:rsidR="00EF16E2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of food coloring on of the bottom slide’s exposed glass.  Observe how the food coloring moves up the slide.</w:t>
            </w:r>
            <w:r w:rsidR="00A9199B" w:rsidRPr="00040D31">
              <w:rPr>
                <w:color w:val="000000"/>
              </w:rPr>
              <w:t xml:space="preserve">  Let this sit while you prepare the second set of slides.</w:t>
            </w:r>
          </w:p>
          <w:p w14:paraId="36118505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5928DC91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Using the other two microscope slides, make a similar setup using pennies instead of paper squares.  </w:t>
            </w:r>
          </w:p>
          <w:p w14:paraId="0FA29905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6BD50F55" w14:textId="77777777" w:rsidR="0005786E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Put a few drops of food coloring on the bottom slide’s exposed glass.  Observe how the food coloring moves up the slide.  </w:t>
            </w:r>
            <w:r w:rsidR="0005786E" w:rsidRPr="00040D31">
              <w:rPr>
                <w:color w:val="000000"/>
              </w:rPr>
              <w:t>Compare the motion of the food coloring in this configuration with the previous one.</w:t>
            </w:r>
          </w:p>
          <w:p w14:paraId="67BA2AC2" w14:textId="77777777" w:rsidR="00A9199B" w:rsidRPr="00040D31" w:rsidRDefault="00A9199B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6C07507B" w14:textId="4B4FE093" w:rsidR="00A9199B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If you have a camera, record the results for documentation and to illustrate your responses to the Post-Activity Questions.</w:t>
            </w:r>
            <w:r w:rsidR="00873E0D">
              <w:rPr>
                <w:color w:val="000000"/>
              </w:rPr>
              <w:t xml:space="preserve">  Compare your results with those shown in this video (</w:t>
            </w:r>
            <w:hyperlink r:id="rId17" w:history="1">
              <w:r w:rsidR="00873E0D" w:rsidRPr="008A3782">
                <w:rPr>
                  <w:rStyle w:val="Hyperlink"/>
                </w:rPr>
                <w:t>https://youtu.be/vCVdSTUKwRQ</w:t>
              </w:r>
            </w:hyperlink>
            <w:proofErr w:type="gramStart"/>
            <w:r w:rsidR="00873E0D">
              <w:rPr>
                <w:color w:val="000000"/>
              </w:rPr>
              <w:t xml:space="preserve"> )</w:t>
            </w:r>
            <w:proofErr w:type="gramEnd"/>
            <w:r w:rsidR="00873E0D">
              <w:rPr>
                <w:color w:val="000000"/>
              </w:rPr>
              <w:t>.</w:t>
            </w:r>
            <w:bookmarkStart w:id="7" w:name="_GoBack"/>
            <w:bookmarkEnd w:id="7"/>
          </w:p>
          <w:p w14:paraId="6FA7701F" w14:textId="77777777" w:rsidR="00A9199B" w:rsidRPr="00040D31" w:rsidRDefault="00A9199B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058555C5" w14:textId="77777777" w:rsidR="00A9199B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Answer the Post-Activity Questions</w:t>
            </w:r>
          </w:p>
          <w:p w14:paraId="67380775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1D1989A1" w14:textId="77777777" w:rsidR="00810553" w:rsidRDefault="00810553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</w:tblGrid>
      <w:tr w:rsidR="00EF16E2" w:rsidRPr="00EF16E2" w14:paraId="3242D70F" w14:textId="77777777" w:rsidTr="001D58B9">
        <w:tc>
          <w:tcPr>
            <w:tcW w:w="295" w:type="dxa"/>
            <w:shd w:val="clear" w:color="auto" w:fill="FBD4B4" w:themeFill="accent6" w:themeFillTint="66"/>
          </w:tcPr>
          <w:p w14:paraId="77C1A39A" w14:textId="77777777" w:rsidR="00EF16E2" w:rsidRPr="00EF16E2" w:rsidRDefault="00EF16E2" w:rsidP="00040D31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  <w:shd w:val="clear" w:color="auto" w:fill="FBD4B4" w:themeFill="accent6" w:themeFillTint="66"/>
          </w:tcPr>
          <w:p w14:paraId="5AAE3B09" w14:textId="77777777" w:rsidR="00A9199B" w:rsidRPr="00A9199B" w:rsidRDefault="00A9199B" w:rsidP="00A919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Notes to Instructor</w:t>
            </w:r>
          </w:p>
          <w:p w14:paraId="691BBE48" w14:textId="77777777" w:rsidR="00A9199B" w:rsidRDefault="00A9199B" w:rsidP="00A9199B">
            <w:pPr>
              <w:rPr>
                <w:color w:val="000000"/>
              </w:rPr>
            </w:pPr>
          </w:p>
          <w:p w14:paraId="685FAD37" w14:textId="282B0BF8" w:rsidR="00EF16E2" w:rsidRDefault="00A9199B" w:rsidP="00A9199B">
            <w:pPr>
              <w:rPr>
                <w:color w:val="000000"/>
              </w:rPr>
            </w:pPr>
            <w:r>
              <w:rPr>
                <w:color w:val="000000"/>
              </w:rPr>
              <w:t>The pictures below show the results of the first set of microscope slides using the thinner spacers – the paper.  The pictur</w:t>
            </w:r>
            <w:r w:rsidR="003B098C">
              <w:rPr>
                <w:color w:val="000000"/>
              </w:rPr>
              <w:t xml:space="preserve">e on the left was taken after </w:t>
            </w:r>
            <w:r w:rsidR="00FD7F25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seconds of time had passed once the food coloring was placed.  </w:t>
            </w:r>
            <w:r w:rsidR="00FD7F25">
              <w:rPr>
                <w:color w:val="000000"/>
              </w:rPr>
              <w:t>The two subsequent pictures were taken at 6 seconds and 15 seconds, respectively.  Times will vary from one experiment to another.  However, a continuous “fill” should be observed once the liquid is placed on the edge of the slides.</w:t>
            </w:r>
            <w:r w:rsidR="003B098C">
              <w:rPr>
                <w:color w:val="000000"/>
              </w:rPr>
              <w:t xml:space="preserve">  When this experiment is repeated using the penni</w:t>
            </w:r>
            <w:r w:rsidR="00360ACD">
              <w:rPr>
                <w:color w:val="000000"/>
              </w:rPr>
              <w:t xml:space="preserve">es, a significant change in capillary action </w:t>
            </w:r>
            <w:r w:rsidR="003B098C">
              <w:rPr>
                <w:color w:val="000000"/>
              </w:rPr>
              <w:t>should be observed.</w:t>
            </w:r>
            <w:r w:rsidR="00756BBC">
              <w:rPr>
                <w:color w:val="000000"/>
              </w:rPr>
              <w:t xml:space="preserve">  Have the students explain the cause and effect of what they see.</w:t>
            </w:r>
          </w:p>
          <w:p w14:paraId="398507C0" w14:textId="77777777" w:rsidR="00000243" w:rsidRPr="00EF16E2" w:rsidRDefault="00000243" w:rsidP="00A9199B">
            <w:pPr>
              <w:rPr>
                <w:sz w:val="22"/>
                <w:szCs w:val="22"/>
              </w:rPr>
            </w:pPr>
          </w:p>
          <w:p w14:paraId="3F871263" w14:textId="15B87832" w:rsidR="00A9199B" w:rsidRPr="00EF16E2" w:rsidRDefault="00FD7F25" w:rsidP="00A9199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0E7CBF6" wp14:editId="0B92C541">
                  <wp:extent cx="6654800" cy="16300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illary_action_Web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4800" cy="163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D93E4D" w14:textId="77777777" w:rsidR="00EF16E2" w:rsidRPr="00EF16E2" w:rsidRDefault="00EF16E2" w:rsidP="00EF16E2">
            <w:pPr>
              <w:pStyle w:val="Caption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F16E2">
              <w:rPr>
                <w:rFonts w:ascii="Times New Roman" w:hAnsi="Times New Roman"/>
                <w:i/>
                <w:sz w:val="24"/>
                <w:szCs w:val="24"/>
              </w:rPr>
              <w:t>Demonstration of Capillary Effect</w:t>
            </w:r>
          </w:p>
          <w:p w14:paraId="1837DDC0" w14:textId="77777777" w:rsidR="00EF16E2" w:rsidRPr="00EF16E2" w:rsidRDefault="00EF16E2" w:rsidP="00EF16E2">
            <w:pPr>
              <w:jc w:val="center"/>
              <w:rPr>
                <w:sz w:val="22"/>
                <w:szCs w:val="22"/>
              </w:rPr>
            </w:pPr>
          </w:p>
        </w:tc>
      </w:tr>
      <w:tr w:rsidR="0005786E" w:rsidRPr="00040D31" w14:paraId="0BE416A2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494118CA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8" w:name="App_Pumps_AC11_dldl159"/>
            <w:bookmarkEnd w:id="6"/>
          </w:p>
        </w:tc>
        <w:tc>
          <w:tcPr>
            <w:tcW w:w="10710" w:type="dxa"/>
            <w:vAlign w:val="bottom"/>
          </w:tcPr>
          <w:p w14:paraId="6160DC04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Post-Activity Questions</w:t>
            </w:r>
          </w:p>
          <w:p w14:paraId="5BE56F1A" w14:textId="77777777" w:rsidR="00A9199B" w:rsidRPr="00040D31" w:rsidRDefault="00A9199B" w:rsidP="0082418B">
            <w:pPr>
              <w:pStyle w:val="lvl1Text"/>
              <w:rPr>
                <w:sz w:val="24"/>
                <w:szCs w:val="24"/>
              </w:rPr>
            </w:pPr>
          </w:p>
        </w:tc>
      </w:tr>
      <w:tr w:rsidR="0005786E" w:rsidRPr="00040D31" w14:paraId="0F3AAA3F" w14:textId="77777777" w:rsidTr="00040D31">
        <w:tc>
          <w:tcPr>
            <w:tcW w:w="295" w:type="dxa"/>
          </w:tcPr>
          <w:p w14:paraId="484504B1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1AD1CADA" w14:textId="77777777" w:rsidR="00A9199B" w:rsidRPr="00040D31" w:rsidRDefault="00A9199B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In this activity, what is the purpose for using two different sized spacers?</w:t>
            </w:r>
          </w:p>
          <w:p w14:paraId="7D5FCAC8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5EF366B2" w14:textId="77777777" w:rsidR="0005786E" w:rsidRPr="00040D31" w:rsidRDefault="00A9199B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How does the rate of flow compare between the two systems?</w:t>
            </w:r>
          </w:p>
          <w:p w14:paraId="3AB7A73C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32978A34" w14:textId="77777777" w:rsidR="0005786E" w:rsidRPr="00040D31" w:rsidRDefault="00CE3E57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How does the flow distance compare between the two systems?</w:t>
            </w:r>
          </w:p>
          <w:p w14:paraId="7A9DCBD2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12A13CD0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Write an explanation as to why the liquid behaves differently </w:t>
            </w:r>
            <w:r w:rsidR="00CE3E57" w:rsidRPr="00040D31">
              <w:rPr>
                <w:color w:val="000000"/>
              </w:rPr>
              <w:t>between the two systems</w:t>
            </w:r>
            <w:r w:rsidRPr="00040D31">
              <w:rPr>
                <w:color w:val="000000"/>
              </w:rPr>
              <w:t>.</w:t>
            </w:r>
          </w:p>
          <w:p w14:paraId="4EA6C56A" w14:textId="77777777" w:rsidR="00AE2487" w:rsidRPr="00040D31" w:rsidRDefault="00AE2487" w:rsidP="00040D31">
            <w:pPr>
              <w:keepNext/>
              <w:keepLines/>
              <w:ind w:left="360"/>
              <w:rPr>
                <w:color w:val="000000"/>
                <w:sz w:val="22"/>
                <w:szCs w:val="22"/>
              </w:rPr>
            </w:pPr>
          </w:p>
          <w:p w14:paraId="6EF042C8" w14:textId="77777777" w:rsidR="00AE2487" w:rsidRPr="00040D31" w:rsidRDefault="00AE2487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What are three examples of capillary action (e.g., water wicking in a </w:t>
            </w:r>
            <w:proofErr w:type="spellStart"/>
            <w:r w:rsidRPr="00040D31">
              <w:rPr>
                <w:color w:val="000000"/>
              </w:rPr>
              <w:t>papertowel</w:t>
            </w:r>
            <w:proofErr w:type="spellEnd"/>
            <w:r w:rsidRPr="00040D31">
              <w:rPr>
                <w:color w:val="000000"/>
              </w:rPr>
              <w:t>)</w:t>
            </w:r>
          </w:p>
          <w:p w14:paraId="123ED33E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  <w:sz w:val="22"/>
                <w:szCs w:val="22"/>
              </w:rPr>
            </w:pPr>
          </w:p>
        </w:tc>
      </w:tr>
      <w:tr w:rsidR="0005786E" w:rsidRPr="00040D31" w14:paraId="46C54E78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58A1F99E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9" w:name="App_Pumps_AC11_dldl160"/>
            <w:bookmarkEnd w:id="8"/>
          </w:p>
        </w:tc>
        <w:tc>
          <w:tcPr>
            <w:tcW w:w="10710" w:type="dxa"/>
            <w:vAlign w:val="bottom"/>
          </w:tcPr>
          <w:p w14:paraId="58F20E38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 xml:space="preserve">Post-Lab Questions </w:t>
            </w:r>
            <w:proofErr w:type="gramStart"/>
            <w:r w:rsidRPr="00040D31">
              <w:rPr>
                <w:sz w:val="24"/>
                <w:szCs w:val="24"/>
              </w:rPr>
              <w:t>/  Answers</w:t>
            </w:r>
            <w:proofErr w:type="gramEnd"/>
          </w:p>
          <w:p w14:paraId="591862CB" w14:textId="77777777" w:rsidR="00D15AE6" w:rsidRPr="00040D31" w:rsidRDefault="00D15AE6" w:rsidP="0082418B">
            <w:pPr>
              <w:pStyle w:val="lvl1Text"/>
              <w:rPr>
                <w:sz w:val="24"/>
                <w:szCs w:val="24"/>
              </w:rPr>
            </w:pPr>
          </w:p>
          <w:p w14:paraId="1792E788" w14:textId="77777777" w:rsidR="00D15AE6" w:rsidRPr="00040D31" w:rsidRDefault="00D15AE6" w:rsidP="00040D31">
            <w:pPr>
              <w:keepNext/>
              <w:keepLines/>
              <w:numPr>
                <w:ilvl w:val="0"/>
                <w:numId w:val="12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In this activity, what is the purpose for using two different sized spacers?</w:t>
            </w:r>
          </w:p>
          <w:p w14:paraId="79C90174" w14:textId="77777777" w:rsidR="00D15AE6" w:rsidRPr="00040D31" w:rsidRDefault="00D15AE6" w:rsidP="00040D31">
            <w:pPr>
              <w:keepNext/>
              <w:keepLines/>
              <w:ind w:left="360"/>
              <w:rPr>
                <w:color w:val="000000"/>
              </w:rPr>
            </w:pPr>
            <w:r w:rsidRPr="00040D31">
              <w:rPr>
                <w:i/>
                <w:color w:val="FF0000"/>
              </w:rPr>
              <w:t xml:space="preserve">To illustrate the effect that the size of the channel has on the flow of the liquid and thus the </w:t>
            </w:r>
            <w:r w:rsidR="00F02EDF" w:rsidRPr="00040D31">
              <w:rPr>
                <w:i/>
                <w:color w:val="FF0000"/>
              </w:rPr>
              <w:t>capillary action of the liquid within each channel.</w:t>
            </w:r>
          </w:p>
          <w:p w14:paraId="2F49B00F" w14:textId="77777777" w:rsidR="00D15AE6" w:rsidRPr="00040D31" w:rsidRDefault="00D15AE6" w:rsidP="00040D31">
            <w:pPr>
              <w:keepNext/>
              <w:keepLines/>
              <w:rPr>
                <w:color w:val="000000"/>
              </w:rPr>
            </w:pPr>
          </w:p>
          <w:p w14:paraId="38F3FF19" w14:textId="77777777" w:rsidR="00D15AE6" w:rsidRPr="00040D31" w:rsidRDefault="00D15AE6" w:rsidP="00040D31">
            <w:pPr>
              <w:keepNext/>
              <w:keepLines/>
              <w:numPr>
                <w:ilvl w:val="0"/>
                <w:numId w:val="12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How does the rate of flow compare between the two systems?</w:t>
            </w:r>
          </w:p>
          <w:p w14:paraId="038E3F26" w14:textId="77777777" w:rsidR="00D15AE6" w:rsidRPr="00040D31" w:rsidRDefault="00D15AE6" w:rsidP="00040D31">
            <w:pPr>
              <w:keepNext/>
              <w:keepLines/>
              <w:ind w:left="360"/>
              <w:rPr>
                <w:color w:val="000000"/>
              </w:rPr>
            </w:pPr>
            <w:r w:rsidRPr="00040D31">
              <w:rPr>
                <w:i/>
                <w:color w:val="FF0000"/>
              </w:rPr>
              <w:t>The liquid flows faster (faster flow rate) in the smaller channe</w:t>
            </w:r>
            <w:r w:rsidR="00F02EDF" w:rsidRPr="00040D31">
              <w:rPr>
                <w:i/>
                <w:color w:val="FF0000"/>
              </w:rPr>
              <w:t>l.  This is determined by the fact that the food coloring moved faster in the smaller spaced slides (paper spacers).</w:t>
            </w:r>
          </w:p>
          <w:p w14:paraId="031938D9" w14:textId="77777777" w:rsidR="00D15AE6" w:rsidRPr="00040D31" w:rsidRDefault="00D15AE6" w:rsidP="00040D31">
            <w:pPr>
              <w:keepNext/>
              <w:keepLines/>
              <w:rPr>
                <w:color w:val="000000"/>
              </w:rPr>
            </w:pPr>
          </w:p>
          <w:p w14:paraId="79A69E77" w14:textId="77777777" w:rsidR="00D15AE6" w:rsidRPr="00040D31" w:rsidRDefault="00D15AE6" w:rsidP="00040D31">
            <w:pPr>
              <w:keepNext/>
              <w:keepLines/>
              <w:numPr>
                <w:ilvl w:val="0"/>
                <w:numId w:val="12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How does the flow distance compare between the two systems?</w:t>
            </w:r>
          </w:p>
          <w:p w14:paraId="081A3FEF" w14:textId="77777777" w:rsidR="00D15AE6" w:rsidRPr="00040D31" w:rsidRDefault="00D15AE6" w:rsidP="00040D31">
            <w:pPr>
              <w:keepNext/>
              <w:keepLines/>
              <w:ind w:left="360"/>
              <w:rPr>
                <w:color w:val="000000"/>
              </w:rPr>
            </w:pPr>
            <w:r w:rsidRPr="00040D31">
              <w:rPr>
                <w:i/>
                <w:color w:val="FF0000"/>
              </w:rPr>
              <w:t>The liquid moves a farther distance in the smaller channel.</w:t>
            </w:r>
          </w:p>
          <w:p w14:paraId="7213723D" w14:textId="77777777" w:rsidR="00D15AE6" w:rsidRPr="00040D31" w:rsidRDefault="00D15AE6" w:rsidP="00040D31">
            <w:pPr>
              <w:keepNext/>
              <w:keepLines/>
              <w:rPr>
                <w:color w:val="000000"/>
              </w:rPr>
            </w:pPr>
          </w:p>
          <w:p w14:paraId="6F1273C3" w14:textId="77777777" w:rsidR="00D15AE6" w:rsidRPr="00040D31" w:rsidRDefault="00D15AE6" w:rsidP="00040D31">
            <w:pPr>
              <w:keepNext/>
              <w:keepLines/>
              <w:numPr>
                <w:ilvl w:val="0"/>
                <w:numId w:val="12"/>
              </w:numPr>
              <w:ind w:left="360"/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>Write an explanation as to why the liquid behaves differently between the two systems.</w:t>
            </w:r>
          </w:p>
          <w:p w14:paraId="31EFE55E" w14:textId="77777777" w:rsidR="00D15AE6" w:rsidRPr="00040D31" w:rsidRDefault="00F02EDF" w:rsidP="00040D31">
            <w:pPr>
              <w:keepNext/>
              <w:keepLines/>
              <w:ind w:left="360"/>
              <w:rPr>
                <w:i/>
                <w:color w:val="FF0000"/>
              </w:rPr>
            </w:pPr>
            <w:r w:rsidRPr="00040D31">
              <w:rPr>
                <w:i/>
                <w:color w:val="FF0000"/>
              </w:rPr>
              <w:t>C</w:t>
            </w:r>
            <w:r w:rsidR="00D15AE6" w:rsidRPr="00040D31">
              <w:rPr>
                <w:i/>
                <w:color w:val="FF0000"/>
              </w:rPr>
              <w:t xml:space="preserve">apillary </w:t>
            </w:r>
            <w:r w:rsidRPr="00040D31">
              <w:rPr>
                <w:i/>
                <w:color w:val="FF0000"/>
              </w:rPr>
              <w:t>action</w:t>
            </w:r>
            <w:r w:rsidR="00D15AE6" w:rsidRPr="00040D31">
              <w:rPr>
                <w:i/>
                <w:color w:val="FF0000"/>
              </w:rPr>
              <w:t xml:space="preserve"> is strongly dependent on the distance between surfaces.  The further apart the surfaces, the weaker the </w:t>
            </w:r>
            <w:r w:rsidRPr="00040D31">
              <w:rPr>
                <w:i/>
                <w:color w:val="FF0000"/>
              </w:rPr>
              <w:t>adhesive forces between the plates become; therefore, the narrower the channel, the stronger the interaction between the adhesive forces of the channel and the surface tension of the liquid.</w:t>
            </w:r>
            <w:r w:rsidR="00D15AE6" w:rsidRPr="00040D31">
              <w:rPr>
                <w:i/>
                <w:color w:val="FF0000"/>
              </w:rPr>
              <w:t xml:space="preserve"> </w:t>
            </w:r>
          </w:p>
          <w:p w14:paraId="5B3F25C8" w14:textId="77777777" w:rsidR="00AE2487" w:rsidRPr="00040D31" w:rsidRDefault="00AE2487" w:rsidP="00040D31">
            <w:pPr>
              <w:keepNext/>
              <w:keepLines/>
              <w:ind w:left="360"/>
              <w:rPr>
                <w:color w:val="FF0000"/>
                <w:sz w:val="22"/>
                <w:szCs w:val="22"/>
              </w:rPr>
            </w:pPr>
          </w:p>
          <w:p w14:paraId="2099534F" w14:textId="77777777" w:rsidR="00AE2487" w:rsidRPr="00040D31" w:rsidRDefault="00AE2487" w:rsidP="00040D31">
            <w:pPr>
              <w:keepNext/>
              <w:keepLines/>
              <w:numPr>
                <w:ilvl w:val="0"/>
                <w:numId w:val="12"/>
              </w:numPr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What are three examples of capillary action (e.g., water wicking in a </w:t>
            </w:r>
            <w:proofErr w:type="spellStart"/>
            <w:r w:rsidRPr="00040D31">
              <w:rPr>
                <w:color w:val="000000"/>
              </w:rPr>
              <w:t>papertowel</w:t>
            </w:r>
            <w:proofErr w:type="spellEnd"/>
            <w:r w:rsidRPr="00040D31">
              <w:rPr>
                <w:color w:val="000000"/>
              </w:rPr>
              <w:t>)</w:t>
            </w:r>
          </w:p>
          <w:p w14:paraId="351DB586" w14:textId="77777777" w:rsidR="00AE2487" w:rsidRPr="00040D31" w:rsidRDefault="00AE2487" w:rsidP="00040D31">
            <w:pPr>
              <w:keepNext/>
              <w:keepLines/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  <w:color w:val="FF0000"/>
              </w:rPr>
              <w:t>Ground water moving from wet areas to dry areas</w:t>
            </w:r>
          </w:p>
          <w:p w14:paraId="4FC99585" w14:textId="77777777" w:rsidR="00AE2487" w:rsidRPr="00040D31" w:rsidRDefault="00AE2487" w:rsidP="00040D31">
            <w:pPr>
              <w:keepNext/>
              <w:keepLines/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  <w:color w:val="FF0000"/>
              </w:rPr>
              <w:t>Tears moving through tear ducts</w:t>
            </w:r>
          </w:p>
          <w:p w14:paraId="0379DFDE" w14:textId="77777777" w:rsidR="00AE2487" w:rsidRPr="00040D31" w:rsidRDefault="00AE2487" w:rsidP="00040D31">
            <w:pPr>
              <w:keepNext/>
              <w:keepLines/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  <w:color w:val="FF0000"/>
              </w:rPr>
              <w:t>Thin layer Chromatography - studying chemical separations</w:t>
            </w:r>
          </w:p>
          <w:p w14:paraId="758E053D" w14:textId="77777777" w:rsidR="00AE2487" w:rsidRPr="00040D31" w:rsidRDefault="00AE2487" w:rsidP="00040D31">
            <w:pPr>
              <w:keepNext/>
              <w:keepLines/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  <w:color w:val="FF0000"/>
              </w:rPr>
              <w:t>The wicking of fabrics and sponges</w:t>
            </w:r>
          </w:p>
          <w:p w14:paraId="646BDAD6" w14:textId="77777777" w:rsidR="00AE2487" w:rsidRPr="00040D31" w:rsidRDefault="00AE2487" w:rsidP="00040D31">
            <w:pPr>
              <w:keepNext/>
              <w:keepLines/>
              <w:ind w:left="335"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  <w:color w:val="FF0000"/>
              </w:rPr>
              <w:t>Oil lamps that use wicks</w:t>
            </w:r>
          </w:p>
          <w:p w14:paraId="18B73051" w14:textId="77777777" w:rsidR="00D15AE6" w:rsidRPr="00040D31" w:rsidRDefault="00D15AE6" w:rsidP="0082418B">
            <w:pPr>
              <w:pStyle w:val="lvl1Text"/>
              <w:rPr>
                <w:sz w:val="24"/>
                <w:szCs w:val="24"/>
              </w:rPr>
            </w:pPr>
          </w:p>
        </w:tc>
      </w:tr>
      <w:tr w:rsidR="0005786E" w:rsidRPr="00040D31" w14:paraId="68ECBA97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1A603088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10" w:name="App_Pumps_AC11_dldl96"/>
            <w:bookmarkEnd w:id="9"/>
          </w:p>
        </w:tc>
        <w:tc>
          <w:tcPr>
            <w:tcW w:w="10710" w:type="dxa"/>
            <w:vAlign w:val="bottom"/>
          </w:tcPr>
          <w:p w14:paraId="77328A33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References</w:t>
            </w:r>
          </w:p>
        </w:tc>
      </w:tr>
      <w:tr w:rsidR="0005786E" w:rsidRPr="00040D31" w14:paraId="1FA31E98" w14:textId="77777777" w:rsidTr="00040D31">
        <w:tc>
          <w:tcPr>
            <w:tcW w:w="295" w:type="dxa"/>
          </w:tcPr>
          <w:p w14:paraId="5CBF1AA1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2A6D8248" w14:textId="77777777" w:rsidR="0005786E" w:rsidRPr="005556CF" w:rsidRDefault="00AE2487" w:rsidP="0005786E">
            <w:pPr>
              <w:pStyle w:val="BulletList"/>
            </w:pPr>
            <w:r w:rsidRPr="000632C0">
              <w:rPr>
                <w:color w:val="000000"/>
              </w:rPr>
              <w:t xml:space="preserve">SCME </w:t>
            </w:r>
            <w:r w:rsidR="0005786E" w:rsidRPr="000632C0">
              <w:rPr>
                <w:color w:val="000000"/>
              </w:rPr>
              <w:t>Micropumps Overview</w:t>
            </w:r>
            <w:r w:rsidRPr="000632C0">
              <w:rPr>
                <w:color w:val="000000"/>
              </w:rPr>
              <w:t xml:space="preserve"> Primary Knowledge Unit</w:t>
            </w:r>
          </w:p>
          <w:p w14:paraId="768F99E8" w14:textId="6BFD00D1" w:rsidR="005556CF" w:rsidRPr="000632C0" w:rsidRDefault="005556CF" w:rsidP="0005786E">
            <w:pPr>
              <w:pStyle w:val="BulletList"/>
            </w:pPr>
            <w:r>
              <w:rPr>
                <w:color w:val="000000"/>
              </w:rPr>
              <w:t xml:space="preserve">Supporting video:  Demonstration of Capillary Action </w:t>
            </w:r>
            <w:hyperlink r:id="rId19" w:history="1">
              <w:r w:rsidRPr="008A3782">
                <w:rPr>
                  <w:rStyle w:val="Hyperlink"/>
                </w:rPr>
                <w:t>https://youtu.be/vCVdSTUKwRQ</w:t>
              </w:r>
            </w:hyperlink>
            <w:r>
              <w:rPr>
                <w:color w:val="000000"/>
              </w:rPr>
              <w:t xml:space="preserve"> </w:t>
            </w:r>
          </w:p>
          <w:p w14:paraId="462BDE4C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BFBD0CB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685C4A7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74D60A64" w14:textId="77777777" w:rsidR="00AE2487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259825B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4EEAC9C7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04BC6A3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61031E9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6577131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639E2B75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45F60C5B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6E1060E4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5621021" w14:textId="77777777" w:rsidR="00810553" w:rsidRPr="00040D31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E117ADC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</w:rPr>
              <w:t>Support for this work was provided by the National Science Foundation's Advanced Technological Education (ATE) Program.</w:t>
            </w:r>
            <w:r w:rsidR="00000243">
              <w:rPr>
                <w:i/>
              </w:rPr>
              <w:t xml:space="preserve">  For more MEMS learning modules from SCME, please check out our website (</w:t>
            </w:r>
            <w:hyperlink r:id="rId20" w:history="1">
              <w:r w:rsidR="00000243" w:rsidRPr="004E652A">
                <w:rPr>
                  <w:rStyle w:val="Hyperlink"/>
                  <w:i/>
                </w:rPr>
                <w:t>http://scme-nm.org</w:t>
              </w:r>
            </w:hyperlink>
            <w:r w:rsidR="00000243">
              <w:rPr>
                <w:i/>
              </w:rPr>
              <w:t xml:space="preserve">). </w:t>
            </w:r>
          </w:p>
        </w:tc>
      </w:tr>
      <w:bookmarkEnd w:id="10"/>
    </w:tbl>
    <w:p w14:paraId="62D50D86" w14:textId="77777777" w:rsidR="00DF739F" w:rsidRDefault="00DF739F" w:rsidP="00D57370">
      <w:pPr>
        <w:pStyle w:val="Header"/>
      </w:pPr>
    </w:p>
    <w:sectPr w:rsidR="00DF739F" w:rsidSect="00857197">
      <w:headerReference w:type="default" r:id="rId21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F1862" w14:textId="77777777" w:rsidR="006872D4" w:rsidRDefault="006872D4">
      <w:r>
        <w:separator/>
      </w:r>
    </w:p>
  </w:endnote>
  <w:endnote w:type="continuationSeparator" w:id="0">
    <w:p w14:paraId="38CF07BD" w14:textId="77777777" w:rsidR="006872D4" w:rsidRDefault="0068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DAA52" w14:textId="77777777" w:rsidR="00982C34" w:rsidRDefault="00982C34">
    <w:pPr>
      <w:pStyle w:val="Footer"/>
    </w:pPr>
  </w:p>
  <w:p w14:paraId="51BBE015" w14:textId="77777777" w:rsidR="00982C34" w:rsidRDefault="00AD3FC7" w:rsidP="00EC6A39">
    <w:pPr>
      <w:pStyle w:val="Footer"/>
      <w:jc w:val="right"/>
    </w:pPr>
    <w:r>
      <w:rPr>
        <w:noProof/>
      </w:rPr>
      <w:drawing>
        <wp:inline distT="0" distB="0" distL="0" distR="0" wp14:anchorId="3E8372C3" wp14:editId="53D66C6B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81960" w14:textId="77777777" w:rsidR="006D1F03" w:rsidRPr="005E6873" w:rsidRDefault="006D1F03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873E0D">
      <w:rPr>
        <w:b/>
        <w:i/>
        <w:noProof/>
        <w:sz w:val="22"/>
      </w:rPr>
      <w:t>3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873E0D">
      <w:rPr>
        <w:b/>
        <w:i/>
        <w:noProof/>
        <w:sz w:val="22"/>
      </w:rPr>
      <w:t>5</w:t>
    </w:r>
    <w:r w:rsidRPr="004B6382">
      <w:rPr>
        <w:b/>
        <w:i/>
        <w:sz w:val="22"/>
      </w:rPr>
      <w:fldChar w:fldCharType="end"/>
    </w:r>
  </w:p>
  <w:p w14:paraId="15E250BE" w14:textId="77777777" w:rsidR="00982C34" w:rsidRPr="006D1F03" w:rsidRDefault="006D1F03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00243">
      <w:rPr>
        <w:i/>
        <w:noProof/>
        <w:sz w:val="22"/>
      </w:rPr>
      <w:t>App_Pumps_AC11_IG_Mar2017.docx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 xml:space="preserve">Capillary </w:t>
    </w:r>
    <w:r w:rsidR="00AE2487">
      <w:rPr>
        <w:b/>
        <w:i/>
        <w:sz w:val="22"/>
      </w:rPr>
      <w:t>Action</w:t>
    </w:r>
    <w:r>
      <w:rPr>
        <w:b/>
        <w:i/>
        <w:sz w:val="22"/>
      </w:rPr>
      <w:t xml:space="preserve">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99A4" w14:textId="77777777" w:rsidR="00982C34" w:rsidRDefault="00982C34">
    <w:pPr>
      <w:pStyle w:val="Footer"/>
    </w:pPr>
  </w:p>
  <w:p w14:paraId="3956F12F" w14:textId="77777777" w:rsidR="00982C34" w:rsidRDefault="00982C34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1C64B" w14:textId="77777777" w:rsidR="006872D4" w:rsidRDefault="006872D4">
      <w:r>
        <w:separator/>
      </w:r>
    </w:p>
  </w:footnote>
  <w:footnote w:type="continuationSeparator" w:id="0">
    <w:p w14:paraId="4BBE5F8C" w14:textId="77777777" w:rsidR="006872D4" w:rsidRDefault="006872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20D47" w14:textId="77777777" w:rsidR="00982C34" w:rsidRDefault="00AD3FC7" w:rsidP="00EC6A39">
    <w:pPr>
      <w:pStyle w:val="Header"/>
      <w:jc w:val="right"/>
    </w:pPr>
    <w:r>
      <w:rPr>
        <w:noProof/>
      </w:rPr>
      <w:drawing>
        <wp:inline distT="0" distB="0" distL="0" distR="0" wp14:anchorId="1C89A9A9" wp14:editId="683E710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437D5" w14:textId="77777777" w:rsidR="00982C34" w:rsidRDefault="00982C3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06FFB" w14:textId="77777777" w:rsidR="00982C34" w:rsidRDefault="00982C34" w:rsidP="00EC6A39">
    <w:pPr>
      <w:pStyle w:val="Header"/>
      <w:jc w:val="right"/>
    </w:pPr>
  </w:p>
  <w:p w14:paraId="5664B98A" w14:textId="77777777" w:rsidR="00982C34" w:rsidRDefault="00982C3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04F08" w14:textId="77777777" w:rsidR="00982C34" w:rsidRDefault="00982C3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246F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46AC3"/>
    <w:multiLevelType w:val="hybridMultilevel"/>
    <w:tmpl w:val="EF808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4300CC8"/>
    <w:multiLevelType w:val="hybridMultilevel"/>
    <w:tmpl w:val="266C8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405149C"/>
    <w:multiLevelType w:val="hybridMultilevel"/>
    <w:tmpl w:val="CC94D6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D7729D"/>
    <w:multiLevelType w:val="hybridMultilevel"/>
    <w:tmpl w:val="5D841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2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0243"/>
    <w:rsid w:val="00040D31"/>
    <w:rsid w:val="00040D75"/>
    <w:rsid w:val="000519F8"/>
    <w:rsid w:val="0005565C"/>
    <w:rsid w:val="0005786E"/>
    <w:rsid w:val="000632C0"/>
    <w:rsid w:val="00097CC8"/>
    <w:rsid w:val="000C04B3"/>
    <w:rsid w:val="000C4088"/>
    <w:rsid w:val="000F1F79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1D58B9"/>
    <w:rsid w:val="001E20CF"/>
    <w:rsid w:val="001E4765"/>
    <w:rsid w:val="00260895"/>
    <w:rsid w:val="002A1736"/>
    <w:rsid w:val="002B64EE"/>
    <w:rsid w:val="002F7867"/>
    <w:rsid w:val="003531C6"/>
    <w:rsid w:val="00355290"/>
    <w:rsid w:val="00360ACD"/>
    <w:rsid w:val="00387E57"/>
    <w:rsid w:val="003A0197"/>
    <w:rsid w:val="003A23E4"/>
    <w:rsid w:val="003A52A8"/>
    <w:rsid w:val="003A5B8A"/>
    <w:rsid w:val="003B098C"/>
    <w:rsid w:val="003C1A97"/>
    <w:rsid w:val="003E3BB8"/>
    <w:rsid w:val="003E3F69"/>
    <w:rsid w:val="00401B67"/>
    <w:rsid w:val="00424EED"/>
    <w:rsid w:val="0043567D"/>
    <w:rsid w:val="00456E84"/>
    <w:rsid w:val="0046023B"/>
    <w:rsid w:val="00476BBB"/>
    <w:rsid w:val="004A55B0"/>
    <w:rsid w:val="004C33B0"/>
    <w:rsid w:val="004E43AF"/>
    <w:rsid w:val="004E489A"/>
    <w:rsid w:val="005239EC"/>
    <w:rsid w:val="00525AEF"/>
    <w:rsid w:val="00526947"/>
    <w:rsid w:val="00530481"/>
    <w:rsid w:val="005460FD"/>
    <w:rsid w:val="005556CF"/>
    <w:rsid w:val="0057157F"/>
    <w:rsid w:val="00582166"/>
    <w:rsid w:val="005A0723"/>
    <w:rsid w:val="005C593C"/>
    <w:rsid w:val="005D0DFB"/>
    <w:rsid w:val="005D25E4"/>
    <w:rsid w:val="005E0B74"/>
    <w:rsid w:val="005F0D7E"/>
    <w:rsid w:val="005F2B0F"/>
    <w:rsid w:val="005F2F42"/>
    <w:rsid w:val="0061324D"/>
    <w:rsid w:val="0062015A"/>
    <w:rsid w:val="006217F2"/>
    <w:rsid w:val="006872D4"/>
    <w:rsid w:val="006922A2"/>
    <w:rsid w:val="006D1F03"/>
    <w:rsid w:val="006F0C56"/>
    <w:rsid w:val="00707891"/>
    <w:rsid w:val="007113A2"/>
    <w:rsid w:val="00754242"/>
    <w:rsid w:val="00756BBC"/>
    <w:rsid w:val="007914DB"/>
    <w:rsid w:val="007959D5"/>
    <w:rsid w:val="007F233E"/>
    <w:rsid w:val="00810553"/>
    <w:rsid w:val="00810584"/>
    <w:rsid w:val="0082418B"/>
    <w:rsid w:val="00857197"/>
    <w:rsid w:val="00873E0D"/>
    <w:rsid w:val="00881286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F1EA9"/>
    <w:rsid w:val="00A31583"/>
    <w:rsid w:val="00A52691"/>
    <w:rsid w:val="00A9199B"/>
    <w:rsid w:val="00AA500A"/>
    <w:rsid w:val="00AA662D"/>
    <w:rsid w:val="00AD14AE"/>
    <w:rsid w:val="00AD3FC7"/>
    <w:rsid w:val="00AE2487"/>
    <w:rsid w:val="00B05761"/>
    <w:rsid w:val="00BA0FEF"/>
    <w:rsid w:val="00BD0D14"/>
    <w:rsid w:val="00BF4FEC"/>
    <w:rsid w:val="00BF5C1E"/>
    <w:rsid w:val="00C31830"/>
    <w:rsid w:val="00C33874"/>
    <w:rsid w:val="00C422F5"/>
    <w:rsid w:val="00C461F7"/>
    <w:rsid w:val="00C61365"/>
    <w:rsid w:val="00C61390"/>
    <w:rsid w:val="00C779C0"/>
    <w:rsid w:val="00C90A22"/>
    <w:rsid w:val="00CA03F1"/>
    <w:rsid w:val="00CA38E0"/>
    <w:rsid w:val="00CA7A70"/>
    <w:rsid w:val="00CB5329"/>
    <w:rsid w:val="00CC6B4B"/>
    <w:rsid w:val="00CE3E57"/>
    <w:rsid w:val="00CE4AC4"/>
    <w:rsid w:val="00D11481"/>
    <w:rsid w:val="00D15029"/>
    <w:rsid w:val="00D15AE6"/>
    <w:rsid w:val="00D57370"/>
    <w:rsid w:val="00D7491B"/>
    <w:rsid w:val="00DA23E5"/>
    <w:rsid w:val="00DD25B4"/>
    <w:rsid w:val="00DD4C29"/>
    <w:rsid w:val="00DF54BA"/>
    <w:rsid w:val="00DF739F"/>
    <w:rsid w:val="00E318DA"/>
    <w:rsid w:val="00E54B53"/>
    <w:rsid w:val="00EA31C9"/>
    <w:rsid w:val="00EC364A"/>
    <w:rsid w:val="00EC58CF"/>
    <w:rsid w:val="00EC6A39"/>
    <w:rsid w:val="00EE47F6"/>
    <w:rsid w:val="00EF16E2"/>
    <w:rsid w:val="00F02EDF"/>
    <w:rsid w:val="00F32980"/>
    <w:rsid w:val="00F473EE"/>
    <w:rsid w:val="00F65E74"/>
    <w:rsid w:val="00F72140"/>
    <w:rsid w:val="00F7215A"/>
    <w:rsid w:val="00F77B61"/>
    <w:rsid w:val="00F91CB4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6B25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  <w:style w:type="paragraph" w:styleId="BalloonText">
    <w:name w:val="Balloon Text"/>
    <w:basedOn w:val="Normal"/>
    <w:link w:val="BalloonTextChar"/>
    <w:rsid w:val="00000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024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  <w:style w:type="paragraph" w:styleId="BalloonText">
    <w:name w:val="Balloon Text"/>
    <w:basedOn w:val="Normal"/>
    <w:link w:val="BalloonTextChar"/>
    <w:rsid w:val="00000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024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yperlink" Target="http://scme-nm.org" TargetMode="External"/><Relationship Id="rId21" Type="http://schemas.openxmlformats.org/officeDocument/2006/relationships/header" Target="head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C:%5CxtProject%5CApp_Pumps_AC11%5Cgraphics%5Cmicrochannel.jpg" TargetMode="External"/><Relationship Id="rId15" Type="http://schemas.openxmlformats.org/officeDocument/2006/relationships/image" Target="media/image3.jpeg"/><Relationship Id="rId16" Type="http://schemas.openxmlformats.org/officeDocument/2006/relationships/image" Target="C:%5CUsers%5Cmj%5CDocuments%5CMy%20Dropbox%5Cscme-scos%5Cmicropump%5Cgraphics%5Ccapillarysupplies.jpg" TargetMode="External"/><Relationship Id="rId17" Type="http://schemas.openxmlformats.org/officeDocument/2006/relationships/hyperlink" Target="https://youtu.be/vCVdSTUKwRQ" TargetMode="External"/><Relationship Id="rId18" Type="http://schemas.openxmlformats.org/officeDocument/2006/relationships/image" Target="media/image4.jpg"/><Relationship Id="rId19" Type="http://schemas.openxmlformats.org/officeDocument/2006/relationships/hyperlink" Target="https://youtu.be/vCVdSTUKwRQ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21</TotalTime>
  <Pages>5</Pages>
  <Words>898</Words>
  <Characters>5122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6008</CharactersWithSpaces>
  <SharedDoc>false</SharedDoc>
  <HLinks>
    <vt:vector size="36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8061035</vt:i4>
      </vt:variant>
      <vt:variant>
        <vt:i4>4470</vt:i4>
      </vt:variant>
      <vt:variant>
        <vt:i4>1025</vt:i4>
      </vt:variant>
      <vt:variant>
        <vt:i4>1</vt:i4>
      </vt:variant>
      <vt:variant>
        <vt:lpwstr>C:\xtProject\App_Pumps_AC11\graphics\microchannel.jpg</vt:lpwstr>
      </vt:variant>
      <vt:variant>
        <vt:lpwstr/>
      </vt:variant>
      <vt:variant>
        <vt:i4>6946942</vt:i4>
      </vt:variant>
      <vt:variant>
        <vt:i4>7080</vt:i4>
      </vt:variant>
      <vt:variant>
        <vt:i4>1026</vt:i4>
      </vt:variant>
      <vt:variant>
        <vt:i4>1</vt:i4>
      </vt:variant>
      <vt:variant>
        <vt:lpwstr>C:\xtProject\App_Pumps_AC11\graphics\DemoofCapEff.jpg</vt:lpwstr>
      </vt:variant>
      <vt:variant>
        <vt:lpwstr/>
      </vt:variant>
      <vt:variant>
        <vt:i4>196629</vt:i4>
      </vt:variant>
      <vt:variant>
        <vt:i4>-1</vt:i4>
      </vt:variant>
      <vt:variant>
        <vt:i4>1026</vt:i4>
      </vt:variant>
      <vt:variant>
        <vt:i4>1</vt:i4>
      </vt:variant>
      <vt:variant>
        <vt:lpwstr>C:\Users\mj\Documents\My Dropbox\scme-scos\micropump\graphics\capillarysupplies.jpg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11</cp:revision>
  <cp:lastPrinted>2012-05-23T19:51:00Z</cp:lastPrinted>
  <dcterms:created xsi:type="dcterms:W3CDTF">2017-03-08T22:44:00Z</dcterms:created>
  <dcterms:modified xsi:type="dcterms:W3CDTF">2017-06-15T19:48:00Z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