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68D04E" w14:textId="77777777" w:rsidR="004E56CF" w:rsidRPr="00B03158" w:rsidRDefault="004E56CF" w:rsidP="00730143">
      <w:pPr>
        <w:jc w:val="center"/>
        <w:rPr>
          <w:b/>
          <w:sz w:val="32"/>
        </w:rPr>
      </w:pPr>
      <w:r w:rsidRPr="00B03158">
        <w:rPr>
          <w:b/>
          <w:sz w:val="32"/>
        </w:rPr>
        <w:t>Southwest Center for Microsystems Education (SCME)</w:t>
      </w:r>
    </w:p>
    <w:p w14:paraId="3B0C1BF9" w14:textId="77777777" w:rsidR="004E56CF" w:rsidRPr="00B03158" w:rsidRDefault="004E56CF" w:rsidP="004E56CF">
      <w:pPr>
        <w:jc w:val="center"/>
        <w:rPr>
          <w:b/>
          <w:sz w:val="32"/>
        </w:rPr>
      </w:pPr>
      <w:r w:rsidRPr="00B03158">
        <w:rPr>
          <w:b/>
          <w:sz w:val="32"/>
        </w:rPr>
        <w:t>University of New Mexico</w:t>
      </w:r>
    </w:p>
    <w:p w14:paraId="5A99FEEA" w14:textId="77777777" w:rsidR="004E56CF" w:rsidRDefault="004E56CF" w:rsidP="00F31A62">
      <w:pPr>
        <w:rPr>
          <w:b/>
          <w:sz w:val="32"/>
        </w:rPr>
      </w:pPr>
    </w:p>
    <w:p w14:paraId="60D54095" w14:textId="313E66AD" w:rsidR="00594366" w:rsidRDefault="00DF6863" w:rsidP="004E56CF">
      <w:pPr>
        <w:jc w:val="center"/>
        <w:rPr>
          <w:b/>
          <w:color w:val="C00000"/>
          <w:sz w:val="56"/>
        </w:rPr>
      </w:pPr>
      <w:r>
        <w:rPr>
          <w:b/>
          <w:color w:val="C00000"/>
          <w:sz w:val="56"/>
        </w:rPr>
        <w:t>Overview of DNA</w:t>
      </w:r>
      <w:r w:rsidR="00730143">
        <w:rPr>
          <w:b/>
          <w:color w:val="C00000"/>
          <w:sz w:val="56"/>
        </w:rPr>
        <w:t xml:space="preserve"> Learning Module</w:t>
      </w:r>
    </w:p>
    <w:p w14:paraId="41F5B943" w14:textId="77777777" w:rsidR="00730143" w:rsidRDefault="00730143" w:rsidP="00F00AB7">
      <w:pPr>
        <w:jc w:val="center"/>
        <w:rPr>
          <w:b/>
          <w:color w:val="C00000"/>
          <w:sz w:val="56"/>
        </w:rPr>
      </w:pPr>
    </w:p>
    <w:p w14:paraId="6BF5827E" w14:textId="77777777" w:rsidR="00F00AB7" w:rsidRPr="00B37343" w:rsidRDefault="00594366" w:rsidP="00F00AB7">
      <w:pPr>
        <w:jc w:val="center"/>
        <w:rPr>
          <w:sz w:val="28"/>
          <w:u w:val="single"/>
        </w:rPr>
      </w:pPr>
      <w:r>
        <w:rPr>
          <w:sz w:val="28"/>
          <w:u w:val="single"/>
        </w:rPr>
        <w:t xml:space="preserve">This </w:t>
      </w:r>
      <w:r w:rsidR="00F31A62">
        <w:rPr>
          <w:sz w:val="28"/>
          <w:u w:val="single"/>
        </w:rPr>
        <w:t>Learning Module contains five (5</w:t>
      </w:r>
      <w:r>
        <w:rPr>
          <w:sz w:val="28"/>
          <w:u w:val="single"/>
        </w:rPr>
        <w:t>)</w:t>
      </w:r>
      <w:r w:rsidR="00F00AB7" w:rsidRPr="00B37343">
        <w:rPr>
          <w:sz w:val="28"/>
          <w:u w:val="single"/>
        </w:rPr>
        <w:t xml:space="preserve"> </w:t>
      </w:r>
      <w:r w:rsidR="00F31A62">
        <w:rPr>
          <w:sz w:val="28"/>
          <w:u w:val="single"/>
        </w:rPr>
        <w:t>units:</w:t>
      </w:r>
    </w:p>
    <w:p w14:paraId="449C0A38" w14:textId="77777777" w:rsidR="000065A3" w:rsidRDefault="000065A3" w:rsidP="00F00AB7">
      <w:pPr>
        <w:jc w:val="center"/>
        <w:rPr>
          <w:sz w:val="28"/>
        </w:rPr>
      </w:pPr>
      <w:r>
        <w:rPr>
          <w:sz w:val="28"/>
        </w:rPr>
        <w:t>Knowledge Probe</w:t>
      </w:r>
      <w:r w:rsidR="00F31A62">
        <w:rPr>
          <w:sz w:val="28"/>
        </w:rPr>
        <w:t xml:space="preserve"> (KP or pre-test)</w:t>
      </w:r>
    </w:p>
    <w:p w14:paraId="3140D64B" w14:textId="77777777" w:rsidR="00F00AB7" w:rsidRDefault="00F00AB7" w:rsidP="00F00AB7">
      <w:pPr>
        <w:jc w:val="center"/>
        <w:rPr>
          <w:sz w:val="28"/>
        </w:rPr>
      </w:pPr>
      <w:r w:rsidRPr="00B37343">
        <w:rPr>
          <w:sz w:val="28"/>
        </w:rPr>
        <w:t>Primary Knowledge</w:t>
      </w:r>
      <w:r w:rsidR="00F31A62">
        <w:rPr>
          <w:sz w:val="28"/>
        </w:rPr>
        <w:t xml:space="preserve"> (PK)</w:t>
      </w:r>
    </w:p>
    <w:p w14:paraId="1F69CDD2" w14:textId="77777777" w:rsidR="00F00AB7" w:rsidRDefault="00594366" w:rsidP="004E56CF">
      <w:pPr>
        <w:jc w:val="center"/>
        <w:rPr>
          <w:sz w:val="28"/>
        </w:rPr>
      </w:pPr>
      <w:r>
        <w:rPr>
          <w:sz w:val="28"/>
        </w:rPr>
        <w:t>Exploration of DNA Concepts Activity</w:t>
      </w:r>
    </w:p>
    <w:p w14:paraId="3909AB36" w14:textId="77777777" w:rsidR="00625F35" w:rsidRDefault="00594366" w:rsidP="004E56CF">
      <w:pPr>
        <w:jc w:val="center"/>
        <w:rPr>
          <w:sz w:val="28"/>
        </w:rPr>
      </w:pPr>
      <w:r>
        <w:rPr>
          <w:sz w:val="28"/>
        </w:rPr>
        <w:t>Exploring DNA Applications Activity</w:t>
      </w:r>
    </w:p>
    <w:p w14:paraId="42F9F9C1" w14:textId="77777777" w:rsidR="00625F35" w:rsidRDefault="000065A3" w:rsidP="00625F35">
      <w:pPr>
        <w:jc w:val="center"/>
        <w:rPr>
          <w:sz w:val="28"/>
        </w:rPr>
      </w:pPr>
      <w:r>
        <w:rPr>
          <w:sz w:val="28"/>
        </w:rPr>
        <w:t xml:space="preserve">Final </w:t>
      </w:r>
      <w:r w:rsidR="00625F35">
        <w:rPr>
          <w:sz w:val="28"/>
        </w:rPr>
        <w:t>Assessment</w:t>
      </w:r>
    </w:p>
    <w:p w14:paraId="0AEF315D" w14:textId="77777777" w:rsidR="00625F35" w:rsidRDefault="00625F35" w:rsidP="00625F35">
      <w:pPr>
        <w:jc w:val="center"/>
        <w:rPr>
          <w:sz w:val="28"/>
        </w:rPr>
      </w:pPr>
    </w:p>
    <w:p w14:paraId="154584DE" w14:textId="77777777" w:rsidR="00F00AB7" w:rsidRDefault="00F31A62" w:rsidP="00F00AB7">
      <w:pPr>
        <w:jc w:val="center"/>
        <w:rPr>
          <w:sz w:val="32"/>
        </w:rPr>
      </w:pPr>
      <w:r>
        <w:rPr>
          <w:sz w:val="32"/>
        </w:rPr>
        <w:t>A map is provided as a suggested outline for this learning module.</w:t>
      </w:r>
    </w:p>
    <w:p w14:paraId="27070873" w14:textId="77777777" w:rsidR="00F31A62" w:rsidRDefault="00F31A62" w:rsidP="00F00AB7">
      <w:pPr>
        <w:jc w:val="center"/>
        <w:rPr>
          <w:sz w:val="32"/>
        </w:rPr>
      </w:pPr>
    </w:p>
    <w:p w14:paraId="53DBE869" w14:textId="77777777" w:rsidR="00F31A62" w:rsidRPr="00F31A62" w:rsidRDefault="00F31A62" w:rsidP="00F00AB7">
      <w:pPr>
        <w:jc w:val="center"/>
        <w:rPr>
          <w:i/>
          <w:sz w:val="32"/>
        </w:rPr>
      </w:pPr>
      <w:r>
        <w:rPr>
          <w:i/>
          <w:sz w:val="32"/>
        </w:rPr>
        <w:t xml:space="preserve">This learning module provides an overview of the DNA molecule, its role as genetic material, its molecular components and structure and DNA replication.  This information is necessary to understand the role of DNA in </w:t>
      </w:r>
      <w:proofErr w:type="spellStart"/>
      <w:r>
        <w:rPr>
          <w:i/>
          <w:sz w:val="32"/>
        </w:rPr>
        <w:t>bioMEMS</w:t>
      </w:r>
      <w:proofErr w:type="spellEnd"/>
      <w:r>
        <w:rPr>
          <w:i/>
          <w:sz w:val="32"/>
        </w:rPr>
        <w:t xml:space="preserve"> (bio </w:t>
      </w:r>
      <w:proofErr w:type="spellStart"/>
      <w:r>
        <w:rPr>
          <w:i/>
          <w:sz w:val="32"/>
        </w:rPr>
        <w:t>MicroElectroMechanical</w:t>
      </w:r>
      <w:proofErr w:type="spellEnd"/>
      <w:r>
        <w:rPr>
          <w:i/>
          <w:sz w:val="32"/>
        </w:rPr>
        <w:t xml:space="preserve"> Systems).  Activities provide the opportunity for more exploration in DNA concepts and DNA applications in </w:t>
      </w:r>
      <w:proofErr w:type="spellStart"/>
      <w:r>
        <w:rPr>
          <w:i/>
          <w:sz w:val="32"/>
        </w:rPr>
        <w:t>microtechnologies</w:t>
      </w:r>
      <w:proofErr w:type="spellEnd"/>
      <w:r>
        <w:rPr>
          <w:i/>
          <w:sz w:val="32"/>
        </w:rPr>
        <w:t>.</w:t>
      </w:r>
    </w:p>
    <w:p w14:paraId="366FECAC" w14:textId="77777777" w:rsidR="00F00AB7" w:rsidRDefault="00F00AB7" w:rsidP="00F00AB7">
      <w:pPr>
        <w:jc w:val="center"/>
        <w:rPr>
          <w:sz w:val="32"/>
        </w:rPr>
      </w:pPr>
    </w:p>
    <w:p w14:paraId="7ED744DE" w14:textId="77777777" w:rsidR="004E56CF" w:rsidRPr="00730143" w:rsidRDefault="00F00AB7" w:rsidP="004E56CF">
      <w:pPr>
        <w:jc w:val="center"/>
        <w:rPr>
          <w:sz w:val="28"/>
        </w:rPr>
      </w:pPr>
      <w:r w:rsidRPr="00730143">
        <w:rPr>
          <w:sz w:val="28"/>
        </w:rPr>
        <w:t>T</w:t>
      </w:r>
      <w:r w:rsidR="004E56CF" w:rsidRPr="00730143">
        <w:rPr>
          <w:sz w:val="28"/>
        </w:rPr>
        <w:t>arget audiences: High School, Community College</w:t>
      </w:r>
      <w:r w:rsidR="000065A3" w:rsidRPr="00730143">
        <w:rPr>
          <w:sz w:val="28"/>
        </w:rPr>
        <w:t xml:space="preserve">, </w:t>
      </w:r>
      <w:proofErr w:type="gramStart"/>
      <w:r w:rsidR="000065A3" w:rsidRPr="00730143">
        <w:rPr>
          <w:sz w:val="28"/>
        </w:rPr>
        <w:t>University</w:t>
      </w:r>
      <w:proofErr w:type="gramEnd"/>
    </w:p>
    <w:p w14:paraId="18EAD958" w14:textId="77777777" w:rsidR="004E56CF" w:rsidRDefault="004E56CF" w:rsidP="00730143">
      <w:pPr>
        <w:rPr>
          <w:b/>
          <w:sz w:val="32"/>
        </w:rPr>
      </w:pPr>
    </w:p>
    <w:p w14:paraId="04A0B1A1" w14:textId="77777777" w:rsidR="00F31A62" w:rsidRDefault="00F31A62" w:rsidP="00F31A62">
      <w:pPr>
        <w:jc w:val="center"/>
      </w:pPr>
      <w:r>
        <w:t>Made possible through grants from the National Science Foundation Department of Undergraduate Education #0830384, 0902411, and 1205138.</w:t>
      </w:r>
    </w:p>
    <w:p w14:paraId="23CB2ADB" w14:textId="77777777" w:rsidR="00F31A62" w:rsidRDefault="00F31A62" w:rsidP="00F31A62">
      <w:pPr>
        <w:jc w:val="center"/>
      </w:pPr>
    </w:p>
    <w:p w14:paraId="4437E455" w14:textId="77777777" w:rsidR="00F31A62" w:rsidRDefault="00F31A62" w:rsidP="00F31A62">
      <w:pPr>
        <w:jc w:val="center"/>
      </w:pPr>
      <w:r>
        <w:t>Any opinions, findings and conclusions or recommendations expressed in this material are those of the authors and creators, and do not necessarily reflect the views of the National Science Foundation.</w:t>
      </w:r>
    </w:p>
    <w:p w14:paraId="2F3F6360" w14:textId="77777777" w:rsidR="00F31A62" w:rsidRDefault="00F31A62" w:rsidP="00F31A62">
      <w:pPr>
        <w:rPr>
          <w:b/>
          <w:sz w:val="32"/>
        </w:rPr>
      </w:pPr>
    </w:p>
    <w:p w14:paraId="2DD43331" w14:textId="77777777" w:rsidR="00F31A62" w:rsidRDefault="00F31A62" w:rsidP="00F31A62">
      <w:pPr>
        <w:jc w:val="center"/>
      </w:pPr>
      <w:r>
        <w:t>Southwest Center for Microsystems Education (SCME) NSF ATE Center</w:t>
      </w:r>
    </w:p>
    <w:p w14:paraId="40BCA60F" w14:textId="77777777" w:rsidR="00F31A62" w:rsidRDefault="00F31A62" w:rsidP="00F31A62">
      <w:pPr>
        <w:jc w:val="center"/>
      </w:pPr>
      <w:r>
        <w:t xml:space="preserve">© </w:t>
      </w:r>
      <w:r>
        <w:t>2010</w:t>
      </w:r>
      <w:r>
        <w:t xml:space="preserve"> Regents of the University of New Mexico</w:t>
      </w:r>
    </w:p>
    <w:p w14:paraId="203B5D53" w14:textId="77777777" w:rsidR="00F31A62" w:rsidRDefault="00F31A62" w:rsidP="00F31A62">
      <w:pPr>
        <w:jc w:val="center"/>
      </w:pPr>
    </w:p>
    <w:p w14:paraId="207804C2" w14:textId="77777777" w:rsidR="00F31A62" w:rsidRDefault="00F31A62" w:rsidP="00F31A62">
      <w:pPr>
        <w:jc w:val="center"/>
      </w:pPr>
      <w:r>
        <w:t>Content is protected by the CC Attribution Non-Commercial Share Alike license.</w:t>
      </w:r>
    </w:p>
    <w:p w14:paraId="375B4485" w14:textId="77777777" w:rsidR="00F31A62" w:rsidRDefault="00F31A62" w:rsidP="00F31A62">
      <w:pPr>
        <w:jc w:val="center"/>
      </w:pPr>
    </w:p>
    <w:p w14:paraId="64128409" w14:textId="45FA2CCC" w:rsidR="00F31A62" w:rsidRPr="00730143" w:rsidRDefault="00F31A62" w:rsidP="00730143">
      <w:pPr>
        <w:jc w:val="center"/>
        <w:rPr>
          <w:rFonts w:ascii="Calibri" w:hAnsi="Calibri"/>
          <w:color w:val="0000FF"/>
          <w:u w:val="single"/>
        </w:rPr>
      </w:pPr>
      <w:r>
        <w:t xml:space="preserve">Website:  </w:t>
      </w:r>
      <w:hyperlink r:id="rId8" w:history="1">
        <w:r>
          <w:rPr>
            <w:rStyle w:val="Hyperlink"/>
            <w:rFonts w:ascii="Calibri" w:hAnsi="Calibri"/>
          </w:rPr>
          <w:t>www.scme-nm.org</w:t>
        </w:r>
      </w:hyperlink>
    </w:p>
    <w:p w14:paraId="356029F5" w14:textId="77777777" w:rsidR="00D70354" w:rsidRPr="00F31A62" w:rsidRDefault="000E32E1" w:rsidP="00F31A62">
      <w:pPr>
        <w:jc w:val="center"/>
      </w:pPr>
      <w:r>
        <w:br w:type="page"/>
      </w:r>
      <w:r w:rsidR="00994CF3" w:rsidRPr="00B93D43">
        <w:rPr>
          <w:b/>
          <w:sz w:val="32"/>
        </w:rPr>
        <w:lastRenderedPageBreak/>
        <w:t xml:space="preserve">Learning Module </w:t>
      </w:r>
      <w:r w:rsidR="0008239A" w:rsidRPr="00B93D43">
        <w:rPr>
          <w:b/>
          <w:sz w:val="32"/>
        </w:rPr>
        <w:t xml:space="preserve">Map for </w:t>
      </w:r>
      <w:r w:rsidR="00DF6863">
        <w:rPr>
          <w:b/>
          <w:sz w:val="32"/>
        </w:rPr>
        <w:t>Overview of DNA</w:t>
      </w:r>
    </w:p>
    <w:p w14:paraId="453669EE" w14:textId="77777777" w:rsidR="00D8382D" w:rsidRPr="004B4CE7" w:rsidRDefault="00D8382D" w:rsidP="00D8382D"/>
    <w:p w14:paraId="538AA5B4" w14:textId="77777777" w:rsidR="00F31A62" w:rsidRPr="00F31A62" w:rsidRDefault="00F31A62" w:rsidP="00F31A62">
      <w:pPr>
        <w:rPr>
          <w:i/>
        </w:rPr>
      </w:pPr>
      <w:r w:rsidRPr="00F31A62">
        <w:rPr>
          <w:i/>
        </w:rPr>
        <w:t>This learning module provides an overview of the DNA molecul</w:t>
      </w:r>
      <w:r>
        <w:rPr>
          <w:i/>
        </w:rPr>
        <w:t>e, its role as genetic material</w:t>
      </w:r>
      <w:r w:rsidRPr="00F31A62">
        <w:rPr>
          <w:i/>
        </w:rPr>
        <w:t>, its molecular components and structure</w:t>
      </w:r>
      <w:r>
        <w:rPr>
          <w:i/>
        </w:rPr>
        <w:t>,</w:t>
      </w:r>
      <w:r w:rsidRPr="00F31A62">
        <w:rPr>
          <w:i/>
        </w:rPr>
        <w:t xml:space="preserve"> and DNA replication.  This information is necessary to understand the role of DNA in </w:t>
      </w:r>
      <w:proofErr w:type="spellStart"/>
      <w:r w:rsidRPr="00F31A62">
        <w:rPr>
          <w:i/>
        </w:rPr>
        <w:t>bioMEMS</w:t>
      </w:r>
      <w:proofErr w:type="spellEnd"/>
      <w:r w:rsidRPr="00F31A62">
        <w:rPr>
          <w:i/>
        </w:rPr>
        <w:t xml:space="preserve"> (bio </w:t>
      </w:r>
      <w:proofErr w:type="spellStart"/>
      <w:r w:rsidRPr="00F31A62">
        <w:rPr>
          <w:i/>
        </w:rPr>
        <w:t>MicroElectroMechanical</w:t>
      </w:r>
      <w:proofErr w:type="spellEnd"/>
      <w:r w:rsidRPr="00F31A62">
        <w:rPr>
          <w:i/>
        </w:rPr>
        <w:t xml:space="preserve"> Systems).  Activities provide the opportunity for more exploration in DNA concepts and </w:t>
      </w:r>
      <w:r>
        <w:rPr>
          <w:i/>
        </w:rPr>
        <w:t xml:space="preserve">DNA </w:t>
      </w:r>
      <w:r w:rsidRPr="00F31A62">
        <w:rPr>
          <w:i/>
        </w:rPr>
        <w:t xml:space="preserve">applications in </w:t>
      </w:r>
      <w:proofErr w:type="spellStart"/>
      <w:r w:rsidRPr="00F31A62">
        <w:rPr>
          <w:i/>
        </w:rPr>
        <w:t>microtechnologies</w:t>
      </w:r>
      <w:proofErr w:type="spellEnd"/>
      <w:r w:rsidRPr="00F31A62">
        <w:rPr>
          <w:i/>
        </w:rPr>
        <w:t>.</w:t>
      </w:r>
    </w:p>
    <w:p w14:paraId="0903C6DB" w14:textId="77777777" w:rsidR="00F31A62" w:rsidRDefault="00F31A62" w:rsidP="00D8382D">
      <w:pPr>
        <w:spacing w:line="360" w:lineRule="auto"/>
      </w:pPr>
    </w:p>
    <w:p w14:paraId="70F07894" w14:textId="77777777" w:rsidR="00F31A62" w:rsidRDefault="00F31A62" w:rsidP="00D8382D">
      <w:pPr>
        <w:spacing w:line="360" w:lineRule="auto"/>
      </w:pPr>
      <w:r>
        <w:t>Learning Module units (5</w:t>
      </w:r>
      <w:r w:rsidR="00994CF3">
        <w:t>)</w:t>
      </w:r>
      <w:r w:rsidR="00D8382D" w:rsidRPr="004B4CE7">
        <w:t xml:space="preserve">: </w:t>
      </w:r>
    </w:p>
    <w:p w14:paraId="544EA85F" w14:textId="77777777" w:rsidR="00643338" w:rsidRDefault="00F31A62" w:rsidP="00F31A62">
      <w:pPr>
        <w:numPr>
          <w:ilvl w:val="0"/>
          <w:numId w:val="8"/>
        </w:numPr>
      </w:pPr>
      <w:r>
        <w:t>Knowledge Probe (pre-test)</w:t>
      </w:r>
    </w:p>
    <w:p w14:paraId="689E1FD9" w14:textId="77777777" w:rsidR="00F31A62" w:rsidRDefault="00F31A62" w:rsidP="00F31A62">
      <w:pPr>
        <w:numPr>
          <w:ilvl w:val="0"/>
          <w:numId w:val="8"/>
        </w:numPr>
      </w:pPr>
      <w:r>
        <w:t>Overview of DNA Primary Knowledge (PK) Reading unit</w:t>
      </w:r>
    </w:p>
    <w:p w14:paraId="1538B1C9" w14:textId="77777777" w:rsidR="00643338" w:rsidRDefault="00594366" w:rsidP="001D2540">
      <w:pPr>
        <w:numPr>
          <w:ilvl w:val="0"/>
          <w:numId w:val="8"/>
        </w:numPr>
      </w:pPr>
      <w:r>
        <w:t>Exploration of DNA Concepts</w:t>
      </w:r>
      <w:r w:rsidR="00643338">
        <w:t xml:space="preserve"> Activity</w:t>
      </w:r>
    </w:p>
    <w:p w14:paraId="3B09195A" w14:textId="77777777" w:rsidR="00643338" w:rsidRDefault="00594366" w:rsidP="001D2540">
      <w:pPr>
        <w:numPr>
          <w:ilvl w:val="0"/>
          <w:numId w:val="8"/>
        </w:numPr>
      </w:pPr>
      <w:r>
        <w:t>Exploring DNA Applications</w:t>
      </w:r>
      <w:r w:rsidR="00643338">
        <w:t xml:space="preserve"> Activity</w:t>
      </w:r>
    </w:p>
    <w:p w14:paraId="671E6769" w14:textId="77777777" w:rsidR="00D8382D" w:rsidRPr="004A6066" w:rsidRDefault="00643338" w:rsidP="001D2540">
      <w:pPr>
        <w:numPr>
          <w:ilvl w:val="0"/>
          <w:numId w:val="8"/>
        </w:numPr>
      </w:pPr>
      <w:r>
        <w:t>Assessment</w:t>
      </w:r>
      <w:r w:rsidR="00FE30D0">
        <w:fldChar w:fldCharType="begin"/>
      </w:r>
      <w:r w:rsidR="00FE30D0">
        <w:instrText xml:space="preserve"> FILLIN "What tools and/or materials are used in the operation?"\d "" \* MERGEFORMAT </w:instrText>
      </w:r>
      <w:r w:rsidR="00FE30D0">
        <w:fldChar w:fldCharType="end"/>
      </w:r>
    </w:p>
    <w:p w14:paraId="14721F8F" w14:textId="77777777" w:rsidR="00D8382D" w:rsidRDefault="00D8382D" w:rsidP="00D8382D"/>
    <w:p w14:paraId="79316073" w14:textId="61EF5E13" w:rsidR="003F6700" w:rsidRDefault="003F6700" w:rsidP="00D8382D">
      <w:r w:rsidRPr="004E56CF">
        <w:rPr>
          <w:b/>
        </w:rPr>
        <w:t>Following is a suggested map on the implementation of this learning module</w:t>
      </w:r>
      <w:r>
        <w:t>.</w:t>
      </w:r>
      <w:r w:rsidR="00B66EF3">
        <w:t xml:space="preserve">  This map is strictly a suggestion.  You may use any </w:t>
      </w:r>
      <w:r w:rsidR="00730143">
        <w:t>unit</w:t>
      </w:r>
      <w:r w:rsidR="00B66EF3">
        <w:t xml:space="preserve"> in this learning module as a stand-alone unit or activity OR in any sequence that best fits your classroom.</w:t>
      </w:r>
    </w:p>
    <w:p w14:paraId="764E221F" w14:textId="77777777" w:rsidR="003F6700" w:rsidRPr="004B4CE7" w:rsidRDefault="003F6700" w:rsidP="00D8382D"/>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95"/>
        <w:gridCol w:w="3420"/>
        <w:gridCol w:w="3240"/>
      </w:tblGrid>
      <w:tr w:rsidR="00D8382D" w:rsidRPr="004B4CE7" w14:paraId="3952D9F8" w14:textId="77777777" w:rsidTr="005D033C">
        <w:tc>
          <w:tcPr>
            <w:tcW w:w="2995" w:type="dxa"/>
          </w:tcPr>
          <w:p w14:paraId="2E7FF354" w14:textId="77777777" w:rsidR="00D8382D" w:rsidRPr="004B4CE7" w:rsidRDefault="00D8382D" w:rsidP="00143292">
            <w:pPr>
              <w:jc w:val="center"/>
              <w:rPr>
                <w:b/>
                <w:bCs/>
              </w:rPr>
            </w:pPr>
            <w:r w:rsidRPr="004B4CE7">
              <w:rPr>
                <w:b/>
                <w:bCs/>
              </w:rPr>
              <w:t>IMPORTANT STEPS</w:t>
            </w:r>
          </w:p>
        </w:tc>
        <w:tc>
          <w:tcPr>
            <w:tcW w:w="3420" w:type="dxa"/>
          </w:tcPr>
          <w:p w14:paraId="7DA69EED" w14:textId="77777777" w:rsidR="00D8382D" w:rsidRPr="004B4CE7" w:rsidRDefault="00D8382D" w:rsidP="00143292">
            <w:pPr>
              <w:jc w:val="center"/>
              <w:rPr>
                <w:b/>
                <w:bCs/>
              </w:rPr>
            </w:pPr>
            <w:r w:rsidRPr="004B4CE7">
              <w:rPr>
                <w:b/>
                <w:bCs/>
              </w:rPr>
              <w:t>KEY POINTS</w:t>
            </w:r>
          </w:p>
        </w:tc>
        <w:tc>
          <w:tcPr>
            <w:tcW w:w="3240" w:type="dxa"/>
          </w:tcPr>
          <w:p w14:paraId="7C2BD9E3" w14:textId="77777777" w:rsidR="00D8382D" w:rsidRPr="004B4CE7" w:rsidRDefault="00D8382D" w:rsidP="00143292">
            <w:pPr>
              <w:jc w:val="center"/>
              <w:rPr>
                <w:b/>
                <w:bCs/>
              </w:rPr>
            </w:pPr>
            <w:r w:rsidRPr="004B4CE7">
              <w:rPr>
                <w:b/>
                <w:bCs/>
              </w:rPr>
              <w:t>REASONS</w:t>
            </w:r>
          </w:p>
        </w:tc>
      </w:tr>
      <w:tr w:rsidR="00B423B5" w:rsidRPr="004B4CE7" w14:paraId="733B7E0E" w14:textId="77777777" w:rsidTr="005D033C">
        <w:trPr>
          <w:cantSplit/>
          <w:trHeight w:val="2303"/>
        </w:trPr>
        <w:tc>
          <w:tcPr>
            <w:tcW w:w="2995" w:type="dxa"/>
            <w:vAlign w:val="center"/>
          </w:tcPr>
          <w:p w14:paraId="3A80C65A" w14:textId="77777777" w:rsidR="00B423B5" w:rsidRDefault="00B423B5" w:rsidP="00ED1F8B">
            <w:pPr>
              <w:pStyle w:val="Header"/>
            </w:pPr>
            <w:r>
              <w:t>Knowledge Probe (KP)</w:t>
            </w:r>
          </w:p>
        </w:tc>
        <w:tc>
          <w:tcPr>
            <w:tcW w:w="3420" w:type="dxa"/>
            <w:vAlign w:val="center"/>
          </w:tcPr>
          <w:p w14:paraId="79463A91" w14:textId="04DD645F" w:rsidR="00B423B5" w:rsidRDefault="00B423B5" w:rsidP="00730143">
            <w:pPr>
              <w:pStyle w:val="BulletList"/>
              <w:numPr>
                <w:ilvl w:val="0"/>
                <w:numId w:val="0"/>
              </w:numPr>
              <w:ind w:right="450"/>
            </w:pPr>
            <w:r>
              <w:t xml:space="preserve">This is a pre-assessment that the participants </w:t>
            </w:r>
            <w:r w:rsidR="00730143">
              <w:t>could</w:t>
            </w:r>
            <w:r>
              <w:t xml:space="preserve"> take prior to starting this learning module.</w:t>
            </w:r>
          </w:p>
        </w:tc>
        <w:tc>
          <w:tcPr>
            <w:tcW w:w="3240" w:type="dxa"/>
            <w:vAlign w:val="center"/>
          </w:tcPr>
          <w:p w14:paraId="1641BEA5" w14:textId="023881FE" w:rsidR="00B423B5" w:rsidRDefault="00B423B5" w:rsidP="00730143">
            <w:pPr>
              <w:pStyle w:val="BulletList"/>
              <w:numPr>
                <w:ilvl w:val="0"/>
                <w:numId w:val="0"/>
              </w:numPr>
              <w:ind w:right="450"/>
            </w:pPr>
            <w:r>
              <w:t xml:space="preserve">This KP </w:t>
            </w:r>
            <w:r w:rsidR="00730143">
              <w:t>helps to</w:t>
            </w:r>
            <w:r>
              <w:t xml:space="preserve"> determine the participants’ current knowledge of DNA </w:t>
            </w:r>
            <w:r w:rsidR="00594366">
              <w:t>c</w:t>
            </w:r>
            <w:r w:rsidR="00B73237">
              <w:t>oncepts, the DNA molecule</w:t>
            </w:r>
            <w:r w:rsidR="00594366">
              <w:t xml:space="preserve"> and applications within microsystems</w:t>
            </w:r>
            <w:r>
              <w:t xml:space="preserve">. </w:t>
            </w:r>
          </w:p>
        </w:tc>
      </w:tr>
      <w:tr w:rsidR="00B423B5" w:rsidRPr="004B4CE7" w14:paraId="55456034" w14:textId="77777777" w:rsidTr="005D033C">
        <w:trPr>
          <w:cantSplit/>
          <w:trHeight w:val="2303"/>
        </w:trPr>
        <w:tc>
          <w:tcPr>
            <w:tcW w:w="2995" w:type="dxa"/>
            <w:vAlign w:val="center"/>
          </w:tcPr>
          <w:p w14:paraId="4C5FCF2E" w14:textId="77777777" w:rsidR="00B423B5" w:rsidRDefault="00B423B5" w:rsidP="00ED1F8B">
            <w:pPr>
              <w:pStyle w:val="Header"/>
            </w:pPr>
            <w:r>
              <w:lastRenderedPageBreak/>
              <w:t xml:space="preserve">Inquiry activity </w:t>
            </w:r>
            <w:r w:rsidR="00594366">
              <w:t>1</w:t>
            </w:r>
          </w:p>
        </w:tc>
        <w:tc>
          <w:tcPr>
            <w:tcW w:w="3420" w:type="dxa"/>
            <w:vAlign w:val="center"/>
          </w:tcPr>
          <w:p w14:paraId="129BE75D" w14:textId="77777777" w:rsidR="00B423B5" w:rsidRDefault="00B423B5" w:rsidP="000A691F">
            <w:pPr>
              <w:pStyle w:val="BulletList"/>
              <w:numPr>
                <w:ilvl w:val="0"/>
                <w:numId w:val="0"/>
              </w:numPr>
              <w:ind w:right="450"/>
            </w:pPr>
            <w:r>
              <w:t xml:space="preserve">Assign each student a letter A, T, G, or C.  Have half of the students create </w:t>
            </w:r>
            <w:proofErr w:type="gramStart"/>
            <w:r>
              <w:t>a</w:t>
            </w:r>
            <w:proofErr w:type="gramEnd"/>
            <w:r>
              <w:t xml:space="preserve"> </w:t>
            </w:r>
            <w:proofErr w:type="spellStart"/>
            <w:r>
              <w:t>ssDNA</w:t>
            </w:r>
            <w:proofErr w:type="spellEnd"/>
            <w:r>
              <w:t xml:space="preserve"> sequence.  Have the other half “match” correctly to the sequence. Questions that you could ask:</w:t>
            </w:r>
          </w:p>
          <w:p w14:paraId="0207917D" w14:textId="77777777" w:rsidR="00B423B5" w:rsidRDefault="00B423B5" w:rsidP="00B423B5">
            <w:pPr>
              <w:rPr>
                <w:i/>
              </w:rPr>
            </w:pPr>
            <w:r>
              <w:rPr>
                <w:i/>
              </w:rPr>
              <w:t>What have you just formed?</w:t>
            </w:r>
          </w:p>
          <w:p w14:paraId="77650C73" w14:textId="77777777" w:rsidR="00B423B5" w:rsidRDefault="00B423B5" w:rsidP="00B423B5">
            <w:pPr>
              <w:rPr>
                <w:i/>
              </w:rPr>
            </w:pPr>
            <w:r>
              <w:rPr>
                <w:i/>
              </w:rPr>
              <w:t xml:space="preserve">What happens during transcription?(the </w:t>
            </w:r>
            <w:proofErr w:type="spellStart"/>
            <w:r>
              <w:rPr>
                <w:i/>
              </w:rPr>
              <w:t>d</w:t>
            </w:r>
            <w:r w:rsidR="00594366">
              <w:rPr>
                <w:i/>
              </w:rPr>
              <w:t>s</w:t>
            </w:r>
            <w:r>
              <w:rPr>
                <w:i/>
              </w:rPr>
              <w:t>DNA</w:t>
            </w:r>
            <w:proofErr w:type="spellEnd"/>
            <w:r>
              <w:rPr>
                <w:i/>
              </w:rPr>
              <w:t xml:space="preserve"> separates)</w:t>
            </w:r>
          </w:p>
          <w:p w14:paraId="7A9B7FC7" w14:textId="77777777" w:rsidR="00B423B5" w:rsidRDefault="00B423B5" w:rsidP="00B423B5">
            <w:pPr>
              <w:rPr>
                <w:i/>
              </w:rPr>
            </w:pPr>
            <w:r>
              <w:rPr>
                <w:i/>
              </w:rPr>
              <w:t xml:space="preserve">What happens during reverse transcription? (the 2 </w:t>
            </w:r>
            <w:proofErr w:type="spellStart"/>
            <w:r>
              <w:rPr>
                <w:i/>
              </w:rPr>
              <w:t>ssDNAs</w:t>
            </w:r>
            <w:proofErr w:type="spellEnd"/>
            <w:r>
              <w:rPr>
                <w:i/>
              </w:rPr>
              <w:t xml:space="preserve"> joined together)</w:t>
            </w:r>
          </w:p>
          <w:p w14:paraId="3A81EAB5" w14:textId="77777777" w:rsidR="00B423B5" w:rsidRPr="00B423B5" w:rsidRDefault="00594366" w:rsidP="00B423B5">
            <w:pPr>
              <w:rPr>
                <w:i/>
              </w:rPr>
            </w:pPr>
            <w:r>
              <w:rPr>
                <w:i/>
              </w:rPr>
              <w:t>Can you think of any fields or careers that rely on or use DNA?</w:t>
            </w:r>
          </w:p>
        </w:tc>
        <w:tc>
          <w:tcPr>
            <w:tcW w:w="3240" w:type="dxa"/>
            <w:vAlign w:val="center"/>
          </w:tcPr>
          <w:p w14:paraId="2515ED82" w14:textId="77777777" w:rsidR="00B423B5" w:rsidRDefault="00B423B5" w:rsidP="00594366">
            <w:pPr>
              <w:pStyle w:val="BulletList"/>
              <w:numPr>
                <w:ilvl w:val="0"/>
                <w:numId w:val="0"/>
              </w:numPr>
              <w:ind w:right="450"/>
            </w:pPr>
            <w:r>
              <w:t xml:space="preserve">This activity gets the participants thinking about DNA and </w:t>
            </w:r>
            <w:r w:rsidR="00594366">
              <w:t>what it is</w:t>
            </w:r>
            <w:r>
              <w:t xml:space="preserve">.  </w:t>
            </w:r>
          </w:p>
        </w:tc>
      </w:tr>
      <w:tr w:rsidR="00D8382D" w:rsidRPr="004B4CE7" w14:paraId="48C57D07" w14:textId="77777777" w:rsidTr="005D033C">
        <w:trPr>
          <w:cantSplit/>
          <w:trHeight w:val="2303"/>
        </w:trPr>
        <w:tc>
          <w:tcPr>
            <w:tcW w:w="2995" w:type="dxa"/>
            <w:vAlign w:val="center"/>
          </w:tcPr>
          <w:p w14:paraId="61888BC5" w14:textId="77777777" w:rsidR="00E95067" w:rsidRDefault="00E95067" w:rsidP="00ED1F8B">
            <w:pPr>
              <w:pStyle w:val="Header"/>
            </w:pPr>
            <w:r>
              <w:t>Assign the primary knowledge (PK) unit as a reading assignment.</w:t>
            </w:r>
          </w:p>
          <w:p w14:paraId="4E66FF73" w14:textId="77777777" w:rsidR="00E95067" w:rsidRDefault="00E95067" w:rsidP="00ED1F8B">
            <w:pPr>
              <w:pStyle w:val="Header"/>
            </w:pPr>
          </w:p>
          <w:p w14:paraId="6062B46B" w14:textId="77777777" w:rsidR="00E95067" w:rsidRPr="00DC6B79" w:rsidRDefault="00E95067" w:rsidP="00DF6863">
            <w:pPr>
              <w:pStyle w:val="Header"/>
            </w:pPr>
            <w:r>
              <w:t xml:space="preserve">Review the </w:t>
            </w:r>
            <w:r w:rsidR="00DF6863">
              <w:rPr>
                <w:u w:val="single"/>
              </w:rPr>
              <w:t>O</w:t>
            </w:r>
            <w:r w:rsidR="00594366">
              <w:rPr>
                <w:u w:val="single"/>
              </w:rPr>
              <w:t>verview</w:t>
            </w:r>
            <w:r w:rsidR="00DF6863">
              <w:rPr>
                <w:u w:val="single"/>
              </w:rPr>
              <w:t xml:space="preserve"> of DNA</w:t>
            </w:r>
            <w:r w:rsidR="007A3184" w:rsidRPr="001D2540">
              <w:rPr>
                <w:u w:val="single"/>
              </w:rPr>
              <w:t xml:space="preserve"> PK</w:t>
            </w:r>
            <w:r w:rsidR="00DC6B79">
              <w:t xml:space="preserve"> and </w:t>
            </w:r>
            <w:r w:rsidR="00594366">
              <w:t>address any questions.</w:t>
            </w:r>
            <w:r>
              <w:t xml:space="preserve">  </w:t>
            </w:r>
          </w:p>
        </w:tc>
        <w:tc>
          <w:tcPr>
            <w:tcW w:w="3420" w:type="dxa"/>
            <w:vAlign w:val="center"/>
          </w:tcPr>
          <w:p w14:paraId="45B05E50" w14:textId="77777777" w:rsidR="003F6700" w:rsidRDefault="003F6700" w:rsidP="000A691F">
            <w:pPr>
              <w:pStyle w:val="BulletList"/>
              <w:numPr>
                <w:ilvl w:val="0"/>
                <w:numId w:val="0"/>
              </w:numPr>
              <w:ind w:right="450"/>
            </w:pPr>
          </w:p>
          <w:p w14:paraId="1A1EFD0E" w14:textId="77777777" w:rsidR="00D8382D" w:rsidRPr="004B4CE7" w:rsidRDefault="003F6700" w:rsidP="007A3184">
            <w:pPr>
              <w:pStyle w:val="BulletList"/>
              <w:numPr>
                <w:ilvl w:val="0"/>
                <w:numId w:val="0"/>
              </w:numPr>
              <w:ind w:right="450"/>
            </w:pPr>
            <w:r>
              <w:t>A PowerPoint presentation can be downloaded</w:t>
            </w:r>
            <w:r w:rsidR="00614DF9">
              <w:t xml:space="preserve"> by the instructor</w:t>
            </w:r>
            <w:r>
              <w:t xml:space="preserve"> from scme-nm.org</w:t>
            </w:r>
            <w:r w:rsidR="002654DD">
              <w:t xml:space="preserve"> and presented to all participants</w:t>
            </w:r>
            <w:r w:rsidR="00F00AB7">
              <w:t>.</w:t>
            </w:r>
          </w:p>
        </w:tc>
        <w:tc>
          <w:tcPr>
            <w:tcW w:w="3240" w:type="dxa"/>
            <w:vAlign w:val="center"/>
          </w:tcPr>
          <w:p w14:paraId="31DEBB55" w14:textId="77777777" w:rsidR="00DC6B79" w:rsidRPr="00DC6B79" w:rsidRDefault="00E95067" w:rsidP="00594366">
            <w:pPr>
              <w:pStyle w:val="BulletList"/>
              <w:numPr>
                <w:ilvl w:val="0"/>
                <w:numId w:val="0"/>
              </w:numPr>
              <w:ind w:right="450"/>
            </w:pPr>
            <w:r>
              <w:t>This introduction will help</w:t>
            </w:r>
            <w:r w:rsidR="008067B1">
              <w:t xml:space="preserve"> participant</w:t>
            </w:r>
            <w:r w:rsidR="00D817C6">
              <w:t>s</w:t>
            </w:r>
            <w:r w:rsidR="008067B1">
              <w:t xml:space="preserve"> better understand </w:t>
            </w:r>
            <w:r w:rsidR="00F00AB7">
              <w:t xml:space="preserve">the </w:t>
            </w:r>
            <w:r w:rsidR="00ED1F8B">
              <w:t>activities</w:t>
            </w:r>
            <w:r w:rsidR="00F00AB7">
              <w:t>.</w:t>
            </w:r>
          </w:p>
        </w:tc>
      </w:tr>
      <w:tr w:rsidR="00270D32" w:rsidRPr="004B4CE7" w14:paraId="17258F34" w14:textId="77777777" w:rsidTr="005D033C">
        <w:trPr>
          <w:cantSplit/>
          <w:trHeight w:val="800"/>
        </w:trPr>
        <w:tc>
          <w:tcPr>
            <w:tcW w:w="2995" w:type="dxa"/>
            <w:vAlign w:val="center"/>
          </w:tcPr>
          <w:p w14:paraId="5B5A4484" w14:textId="77777777" w:rsidR="00270D32" w:rsidRDefault="00270D32" w:rsidP="00594366">
            <w:pPr>
              <w:pStyle w:val="Header"/>
            </w:pPr>
            <w:r>
              <w:t>Complete the activity “</w:t>
            </w:r>
            <w:r w:rsidR="00594366">
              <w:t>Exploration of DNA Concepts</w:t>
            </w:r>
            <w:r>
              <w:t>”</w:t>
            </w:r>
          </w:p>
        </w:tc>
        <w:tc>
          <w:tcPr>
            <w:tcW w:w="3420" w:type="dxa"/>
            <w:vAlign w:val="center"/>
          </w:tcPr>
          <w:p w14:paraId="31036707" w14:textId="77777777" w:rsidR="00270D32" w:rsidRDefault="00DC6B79" w:rsidP="00594366">
            <w:pPr>
              <w:pStyle w:val="Header"/>
            </w:pPr>
            <w:r>
              <w:t xml:space="preserve">Participants </w:t>
            </w:r>
            <w:r w:rsidR="00594366">
              <w:t>explore the timeline for the development of the DNA concepts that we know today.  They also explore DNA structure, code, applications and the genome.</w:t>
            </w:r>
          </w:p>
          <w:p w14:paraId="6A9440AC" w14:textId="77777777" w:rsidR="00B73237" w:rsidRDefault="00B73237" w:rsidP="00594366">
            <w:pPr>
              <w:pStyle w:val="Header"/>
            </w:pPr>
          </w:p>
        </w:tc>
        <w:tc>
          <w:tcPr>
            <w:tcW w:w="3240" w:type="dxa"/>
            <w:vAlign w:val="center"/>
          </w:tcPr>
          <w:p w14:paraId="5481EB1D" w14:textId="77777777" w:rsidR="00594366" w:rsidRDefault="00594366" w:rsidP="00B73237">
            <w:pPr>
              <w:pStyle w:val="Header"/>
            </w:pPr>
            <w:r>
              <w:t xml:space="preserve">This online tutorial allows the participants to explore at their own pace several concepts related to the DNA molecule. </w:t>
            </w:r>
          </w:p>
        </w:tc>
      </w:tr>
      <w:tr w:rsidR="006537B7" w:rsidRPr="004B4CE7" w14:paraId="0A227625" w14:textId="77777777" w:rsidTr="005D033C">
        <w:trPr>
          <w:cantSplit/>
          <w:trHeight w:val="800"/>
        </w:trPr>
        <w:tc>
          <w:tcPr>
            <w:tcW w:w="2995" w:type="dxa"/>
            <w:vAlign w:val="center"/>
          </w:tcPr>
          <w:p w14:paraId="16F3854D" w14:textId="77777777" w:rsidR="006537B7" w:rsidRDefault="007A3184" w:rsidP="000A691F">
            <w:pPr>
              <w:pStyle w:val="Header"/>
            </w:pPr>
            <w:r>
              <w:t xml:space="preserve">Complete the activity </w:t>
            </w:r>
            <w:r w:rsidR="00F37253">
              <w:t>“Exploring DNA Applications”</w:t>
            </w:r>
          </w:p>
          <w:p w14:paraId="174D926C" w14:textId="77777777" w:rsidR="001D2540" w:rsidRPr="004B4CE7" w:rsidRDefault="001D2540" w:rsidP="000A691F">
            <w:pPr>
              <w:pStyle w:val="Header"/>
            </w:pPr>
          </w:p>
        </w:tc>
        <w:tc>
          <w:tcPr>
            <w:tcW w:w="3420" w:type="dxa"/>
            <w:vAlign w:val="center"/>
          </w:tcPr>
          <w:p w14:paraId="15F6FC99" w14:textId="77777777" w:rsidR="000A691F" w:rsidRPr="00DC6B79" w:rsidDel="007C60BC" w:rsidRDefault="00F37253" w:rsidP="00ED17A0">
            <w:pPr>
              <w:pStyle w:val="Header"/>
            </w:pPr>
            <w:r>
              <w:t>In this activity the participants further explore, and in more depth, the way DNA is used in a variety of applications.  The</w:t>
            </w:r>
            <w:r w:rsidR="00B73237">
              <w:t>y</w:t>
            </w:r>
            <w:r>
              <w:t xml:space="preserve"> learn about genes and how the few genes that differ in humans can be used to assist in forensics as well as medical diagnosis of a disease.</w:t>
            </w:r>
          </w:p>
        </w:tc>
        <w:tc>
          <w:tcPr>
            <w:tcW w:w="3240" w:type="dxa"/>
            <w:vAlign w:val="center"/>
          </w:tcPr>
          <w:p w14:paraId="3F45385F" w14:textId="77777777" w:rsidR="00B73237" w:rsidRDefault="00ED17A0" w:rsidP="00B73237">
            <w:pPr>
              <w:pStyle w:val="Header"/>
            </w:pPr>
            <w:r>
              <w:t xml:space="preserve">This activity is </w:t>
            </w:r>
            <w:r w:rsidR="00F37253">
              <w:t>allows the students to better understand why DNA is important to microsystems and how it is used in a variety of applications.</w:t>
            </w:r>
            <w:r>
              <w:t xml:space="preserve">  </w:t>
            </w:r>
            <w:r w:rsidR="00B73237">
              <w:t>Participants will discover the areas that interest them the most.</w:t>
            </w:r>
          </w:p>
          <w:p w14:paraId="5D907697" w14:textId="77777777" w:rsidR="006537B7" w:rsidRPr="004B4CE7" w:rsidRDefault="006537B7" w:rsidP="00F37253">
            <w:pPr>
              <w:pStyle w:val="Header"/>
            </w:pPr>
          </w:p>
        </w:tc>
      </w:tr>
      <w:tr w:rsidR="006537B7" w:rsidRPr="004B4CE7" w14:paraId="18438007" w14:textId="77777777" w:rsidTr="005D033C">
        <w:trPr>
          <w:cantSplit/>
          <w:trHeight w:val="1152"/>
        </w:trPr>
        <w:tc>
          <w:tcPr>
            <w:tcW w:w="2995" w:type="dxa"/>
            <w:vAlign w:val="center"/>
          </w:tcPr>
          <w:p w14:paraId="671B2382" w14:textId="77777777" w:rsidR="006537B7" w:rsidRPr="004B4CE7" w:rsidRDefault="00DF6863" w:rsidP="00F37253">
            <w:pPr>
              <w:pStyle w:val="Header"/>
            </w:pPr>
            <w:r>
              <w:lastRenderedPageBreak/>
              <w:t>Final</w:t>
            </w:r>
            <w:r w:rsidR="001D2540">
              <w:t xml:space="preserve"> </w:t>
            </w:r>
            <w:r w:rsidR="005D033C">
              <w:t>Assessment</w:t>
            </w:r>
          </w:p>
        </w:tc>
        <w:tc>
          <w:tcPr>
            <w:tcW w:w="3420" w:type="dxa"/>
            <w:vAlign w:val="center"/>
          </w:tcPr>
          <w:p w14:paraId="172E29AA" w14:textId="77777777" w:rsidR="006537B7" w:rsidRPr="004B4CE7" w:rsidRDefault="00F37253" w:rsidP="00DF6863">
            <w:pPr>
              <w:pStyle w:val="Header"/>
            </w:pPr>
            <w:r>
              <w:t xml:space="preserve">Give the participants the </w:t>
            </w:r>
            <w:r w:rsidR="00DF6863">
              <w:rPr>
                <w:u w:val="single"/>
              </w:rPr>
              <w:t>Overview of DNA</w:t>
            </w:r>
            <w:r w:rsidR="005D033C">
              <w:t xml:space="preserve"> assessment.</w:t>
            </w:r>
          </w:p>
        </w:tc>
        <w:tc>
          <w:tcPr>
            <w:tcW w:w="3240" w:type="dxa"/>
            <w:vAlign w:val="center"/>
          </w:tcPr>
          <w:p w14:paraId="610126C3" w14:textId="77777777" w:rsidR="00F37253" w:rsidRDefault="001D2540" w:rsidP="00F37253">
            <w:pPr>
              <w:pStyle w:val="Header"/>
            </w:pPr>
            <w:r>
              <w:t xml:space="preserve">Participants are evaluated on what they </w:t>
            </w:r>
            <w:r w:rsidR="005D033C">
              <w:t xml:space="preserve">have learned about </w:t>
            </w:r>
            <w:r w:rsidR="00ED17A0">
              <w:t xml:space="preserve">DNA, </w:t>
            </w:r>
            <w:r w:rsidR="00F37253">
              <w:t>its basic con</w:t>
            </w:r>
            <w:r w:rsidR="00B73237">
              <w:t>c</w:t>
            </w:r>
            <w:r w:rsidR="00F37253">
              <w:t>epts, and applications.</w:t>
            </w:r>
          </w:p>
          <w:p w14:paraId="0438F60A" w14:textId="77777777" w:rsidR="006537B7" w:rsidRPr="004B4CE7" w:rsidRDefault="001D2540" w:rsidP="00F37253">
            <w:pPr>
              <w:pStyle w:val="Header"/>
            </w:pPr>
            <w:r>
              <w:t xml:space="preserve"> </w:t>
            </w:r>
          </w:p>
        </w:tc>
      </w:tr>
    </w:tbl>
    <w:p w14:paraId="70934E54" w14:textId="77777777" w:rsidR="00522899" w:rsidRDefault="00522899" w:rsidP="001D2540"/>
    <w:p w14:paraId="20235994" w14:textId="77777777" w:rsidR="0012512C" w:rsidRPr="0038113A" w:rsidRDefault="0012512C" w:rsidP="0012512C">
      <w:pPr>
        <w:spacing w:after="120"/>
        <w:rPr>
          <w:i/>
        </w:rPr>
      </w:pPr>
      <w:r w:rsidRPr="0038113A">
        <w:rPr>
          <w:i/>
        </w:rPr>
        <w:t>Support for this work was provided by the National Science Foundation's Advanced Technological Education (ATE) Program through Grants.  For more learning modules related to microtechnology, visit the SCME website (</w:t>
      </w:r>
      <w:hyperlink r:id="rId9" w:history="1">
        <w:r w:rsidRPr="0038113A">
          <w:rPr>
            <w:rStyle w:val="Hyperlink"/>
            <w:i/>
          </w:rPr>
          <w:t>http://scme-nm.org</w:t>
        </w:r>
      </w:hyperlink>
      <w:r w:rsidRPr="0038113A">
        <w:rPr>
          <w:i/>
        </w:rPr>
        <w:t xml:space="preserve">). </w:t>
      </w:r>
    </w:p>
    <w:p w14:paraId="07305305" w14:textId="77777777" w:rsidR="0012512C" w:rsidRPr="0038113A" w:rsidRDefault="0012512C" w:rsidP="0012512C">
      <w:pPr>
        <w:keepNext/>
        <w:keepLines/>
        <w:spacing w:after="120"/>
        <w:rPr>
          <w:i/>
        </w:rPr>
      </w:pPr>
      <w:r w:rsidRPr="0038113A">
        <w:rPr>
          <w:i/>
        </w:rPr>
        <w:t xml:space="preserve">This </w:t>
      </w:r>
      <w:r w:rsidRPr="0038113A">
        <w:rPr>
          <w:i/>
          <w:color w:val="000000"/>
        </w:rPr>
        <w:t xml:space="preserve">Learning Module was developed in conjunction with Bio-Link, </w:t>
      </w:r>
      <w:r w:rsidRPr="0038113A">
        <w:rPr>
          <w:i/>
        </w:rPr>
        <w:t xml:space="preserve">a National Science Foundation Advanced Technological Education (ATE) Center for Biotechnology @ </w:t>
      </w:r>
      <w:hyperlink r:id="rId10" w:history="1">
        <w:r w:rsidRPr="0038113A">
          <w:rPr>
            <w:rStyle w:val="Hyperlink"/>
            <w:i/>
          </w:rPr>
          <w:t>www.bio-link.org</w:t>
        </w:r>
      </w:hyperlink>
      <w:r w:rsidRPr="0038113A">
        <w:rPr>
          <w:i/>
        </w:rPr>
        <w:t>.</w:t>
      </w:r>
    </w:p>
    <w:p w14:paraId="12F982FF" w14:textId="77777777" w:rsidR="002654DD" w:rsidRPr="004B4CE7" w:rsidRDefault="002654DD" w:rsidP="001D2540">
      <w:bookmarkStart w:id="0" w:name="_GoBack"/>
      <w:bookmarkEnd w:id="0"/>
    </w:p>
    <w:sectPr w:rsidR="002654DD" w:rsidRPr="004B4CE7" w:rsidSect="00730143">
      <w:footerReference w:type="default" r:id="rId11"/>
      <w:pgSz w:w="12240" w:h="15840"/>
      <w:pgMar w:top="1620" w:right="1170" w:bottom="1800" w:left="1350" w:header="720" w:footer="792"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5E400A" w14:textId="77777777" w:rsidR="00B859EF" w:rsidRDefault="00B859EF" w:rsidP="00BA6341">
      <w:r>
        <w:separator/>
      </w:r>
    </w:p>
  </w:endnote>
  <w:endnote w:type="continuationSeparator" w:id="0">
    <w:p w14:paraId="010BCAD9" w14:textId="77777777" w:rsidR="00B859EF" w:rsidRDefault="00B859EF" w:rsidP="00BA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Narrow">
    <w:panose1 w:val="020B05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E1AE3" w14:textId="77777777" w:rsidR="00BA6341" w:rsidRPr="004B6382" w:rsidRDefault="00BA6341" w:rsidP="00BA6341">
    <w:pPr>
      <w:pStyle w:val="Footer"/>
      <w:tabs>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EB1BE3">
      <w:rPr>
        <w:i/>
        <w:sz w:val="22"/>
      </w:rPr>
      <w:tab/>
    </w:r>
    <w:r w:rsidR="00EB1BE3">
      <w:rPr>
        <w:i/>
        <w:sz w:val="22"/>
      </w:rPr>
      <w:tab/>
    </w:r>
    <w:r w:rsidR="00DA37A7">
      <w:rPr>
        <w:i/>
        <w:sz w:val="22"/>
      </w:rPr>
      <w:fldChar w:fldCharType="begin"/>
    </w:r>
    <w:r w:rsidR="00EB1BE3">
      <w:rPr>
        <w:i/>
        <w:sz w:val="22"/>
      </w:rPr>
      <w:instrText xml:space="preserve"> PAGE  \* Arabic  \* MERGEFORMAT </w:instrText>
    </w:r>
    <w:r w:rsidR="00DA37A7">
      <w:rPr>
        <w:i/>
        <w:sz w:val="22"/>
      </w:rPr>
      <w:fldChar w:fldCharType="separate"/>
    </w:r>
    <w:r w:rsidR="0012512C">
      <w:rPr>
        <w:i/>
        <w:noProof/>
        <w:sz w:val="22"/>
      </w:rPr>
      <w:t>4</w:t>
    </w:r>
    <w:r w:rsidR="00DA37A7">
      <w:rPr>
        <w:i/>
        <w:sz w:val="22"/>
      </w:rPr>
      <w:fldChar w:fldCharType="end"/>
    </w:r>
    <w:r w:rsidR="00EB1BE3">
      <w:rPr>
        <w:i/>
        <w:sz w:val="22"/>
      </w:rPr>
      <w:t xml:space="preserve"> of </w:t>
    </w:r>
    <w:r w:rsidR="0012512C">
      <w:fldChar w:fldCharType="begin"/>
    </w:r>
    <w:r w:rsidR="0012512C">
      <w:instrText xml:space="preserve"> NUMPAGES  \* Arabic  \* MERGEFORMAT </w:instrText>
    </w:r>
    <w:r w:rsidR="0012512C">
      <w:fldChar w:fldCharType="separate"/>
    </w:r>
    <w:r w:rsidR="0012512C" w:rsidRPr="0012512C">
      <w:rPr>
        <w:i/>
        <w:noProof/>
        <w:sz w:val="22"/>
      </w:rPr>
      <w:t>4</w:t>
    </w:r>
    <w:r w:rsidR="0012512C">
      <w:rPr>
        <w:i/>
        <w:noProof/>
        <w:sz w:val="22"/>
      </w:rPr>
      <w:fldChar w:fldCharType="end"/>
    </w:r>
  </w:p>
  <w:p w14:paraId="1CCA6BCE" w14:textId="77777777" w:rsidR="00BA6341" w:rsidRDefault="00DA37A7" w:rsidP="00BA6341">
    <w:pPr>
      <w:pStyle w:val="Footer"/>
    </w:pPr>
    <w:r w:rsidRPr="004B6382">
      <w:rPr>
        <w:i/>
        <w:sz w:val="22"/>
      </w:rPr>
      <w:fldChar w:fldCharType="begin"/>
    </w:r>
    <w:r w:rsidR="00BA6341" w:rsidRPr="004B6382">
      <w:rPr>
        <w:i/>
        <w:sz w:val="22"/>
      </w:rPr>
      <w:instrText xml:space="preserve"> FILENAME </w:instrText>
    </w:r>
    <w:r w:rsidRPr="004B6382">
      <w:rPr>
        <w:i/>
        <w:sz w:val="22"/>
      </w:rPr>
      <w:fldChar w:fldCharType="separate"/>
    </w:r>
    <w:r w:rsidR="0012512C">
      <w:rPr>
        <w:i/>
        <w:noProof/>
        <w:sz w:val="22"/>
      </w:rPr>
      <w:t>App_BioMEM_P1_LM32_map_August2017.docx</w:t>
    </w:r>
    <w:r w:rsidRPr="004B6382">
      <w:rPr>
        <w:i/>
        <w:sz w:val="22"/>
      </w:rPr>
      <w:fldChar w:fldCharType="end"/>
    </w:r>
    <w:r w:rsidR="00F00AB7">
      <w:rPr>
        <w:i/>
        <w:sz w:val="22"/>
      </w:rPr>
      <w:tab/>
    </w:r>
    <w:r w:rsidR="00F00AB7">
      <w:rPr>
        <w:i/>
        <w:sz w:val="22"/>
      </w:rPr>
      <w:tab/>
    </w:r>
    <w:r w:rsidR="00594366">
      <w:rPr>
        <w:i/>
        <w:sz w:val="22"/>
      </w:rPr>
      <w:t>Overview</w:t>
    </w:r>
    <w:r w:rsidR="00DF6863">
      <w:rPr>
        <w:i/>
        <w:sz w:val="22"/>
      </w:rPr>
      <w:t xml:space="preserve"> of DNA</w:t>
    </w:r>
    <w:r w:rsidR="00594366">
      <w:rPr>
        <w:i/>
        <w:sz w:val="22"/>
      </w:rPr>
      <w:t xml:space="preserve"> </w:t>
    </w:r>
    <w:r w:rsidR="00A5495D">
      <w:rPr>
        <w:i/>
        <w:sz w:val="22"/>
      </w:rPr>
      <w:t>Learning Map</w:t>
    </w:r>
    <w:r w:rsidR="00BA6341" w:rsidRPr="004B6382">
      <w:rPr>
        <w:i/>
        <w:sz w:val="22"/>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231A4D" w14:textId="77777777" w:rsidR="00B859EF" w:rsidRDefault="00B859EF" w:rsidP="00BA6341">
      <w:r>
        <w:separator/>
      </w:r>
    </w:p>
  </w:footnote>
  <w:footnote w:type="continuationSeparator" w:id="0">
    <w:p w14:paraId="08B020F8" w14:textId="77777777" w:rsidR="00B859EF" w:rsidRDefault="00B859EF" w:rsidP="00BA63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07FCC"/>
    <w:multiLevelType w:val="hybridMultilevel"/>
    <w:tmpl w:val="8E04B2C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20F0F93"/>
    <w:multiLevelType w:val="hybridMultilevel"/>
    <w:tmpl w:val="8F3A4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3C01C8"/>
    <w:multiLevelType w:val="hybridMultilevel"/>
    <w:tmpl w:val="236C2D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56805"/>
    <w:multiLevelType w:val="hybridMultilevel"/>
    <w:tmpl w:val="8AD6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2531AE"/>
    <w:multiLevelType w:val="hybridMultilevel"/>
    <w:tmpl w:val="3AF643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6">
    <w:nsid w:val="75CA1315"/>
    <w:multiLevelType w:val="hybridMultilevel"/>
    <w:tmpl w:val="6200F9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F7E5582"/>
    <w:multiLevelType w:val="hybridMultilevel"/>
    <w:tmpl w:val="6C6CD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6"/>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82D"/>
    <w:rsid w:val="000065A3"/>
    <w:rsid w:val="000169F6"/>
    <w:rsid w:val="00022697"/>
    <w:rsid w:val="000573D9"/>
    <w:rsid w:val="00062385"/>
    <w:rsid w:val="00062755"/>
    <w:rsid w:val="0006519B"/>
    <w:rsid w:val="0006672A"/>
    <w:rsid w:val="0008239A"/>
    <w:rsid w:val="000A38BE"/>
    <w:rsid w:val="000A691F"/>
    <w:rsid w:val="000E2A81"/>
    <w:rsid w:val="000E32E1"/>
    <w:rsid w:val="000F0261"/>
    <w:rsid w:val="00102F87"/>
    <w:rsid w:val="0012512C"/>
    <w:rsid w:val="00127329"/>
    <w:rsid w:val="001279D8"/>
    <w:rsid w:val="00143292"/>
    <w:rsid w:val="001549D5"/>
    <w:rsid w:val="00155A69"/>
    <w:rsid w:val="001636A6"/>
    <w:rsid w:val="00163B28"/>
    <w:rsid w:val="001A137A"/>
    <w:rsid w:val="001A2987"/>
    <w:rsid w:val="001A538D"/>
    <w:rsid w:val="001A6B62"/>
    <w:rsid w:val="001C2FA7"/>
    <w:rsid w:val="001D2540"/>
    <w:rsid w:val="001D2D87"/>
    <w:rsid w:val="001D5176"/>
    <w:rsid w:val="001E2956"/>
    <w:rsid w:val="001F75D7"/>
    <w:rsid w:val="00225FD2"/>
    <w:rsid w:val="00245147"/>
    <w:rsid w:val="00250C91"/>
    <w:rsid w:val="002654DD"/>
    <w:rsid w:val="00270D32"/>
    <w:rsid w:val="00280493"/>
    <w:rsid w:val="002B6503"/>
    <w:rsid w:val="002B75B8"/>
    <w:rsid w:val="002F4555"/>
    <w:rsid w:val="0031160F"/>
    <w:rsid w:val="00330D8E"/>
    <w:rsid w:val="00331C35"/>
    <w:rsid w:val="00342933"/>
    <w:rsid w:val="00344BEB"/>
    <w:rsid w:val="003A6557"/>
    <w:rsid w:val="003C6931"/>
    <w:rsid w:val="003E6ECE"/>
    <w:rsid w:val="003F6700"/>
    <w:rsid w:val="00410AEB"/>
    <w:rsid w:val="00425E92"/>
    <w:rsid w:val="00441BC2"/>
    <w:rsid w:val="00452E3E"/>
    <w:rsid w:val="00487F7E"/>
    <w:rsid w:val="004A6066"/>
    <w:rsid w:val="004B4CE7"/>
    <w:rsid w:val="004E1D21"/>
    <w:rsid w:val="004E405A"/>
    <w:rsid w:val="004E56CF"/>
    <w:rsid w:val="004F237F"/>
    <w:rsid w:val="00522899"/>
    <w:rsid w:val="005232C9"/>
    <w:rsid w:val="00556465"/>
    <w:rsid w:val="005658F7"/>
    <w:rsid w:val="00594366"/>
    <w:rsid w:val="00594AFF"/>
    <w:rsid w:val="005B5C3F"/>
    <w:rsid w:val="005C377E"/>
    <w:rsid w:val="005D033C"/>
    <w:rsid w:val="005E6CED"/>
    <w:rsid w:val="005F432B"/>
    <w:rsid w:val="00603C4E"/>
    <w:rsid w:val="006048C3"/>
    <w:rsid w:val="00614DF9"/>
    <w:rsid w:val="00625F35"/>
    <w:rsid w:val="00643338"/>
    <w:rsid w:val="006537B7"/>
    <w:rsid w:val="00661215"/>
    <w:rsid w:val="006C4B1F"/>
    <w:rsid w:val="00730143"/>
    <w:rsid w:val="0073779E"/>
    <w:rsid w:val="00740211"/>
    <w:rsid w:val="00750B14"/>
    <w:rsid w:val="00760733"/>
    <w:rsid w:val="0077389A"/>
    <w:rsid w:val="007817E7"/>
    <w:rsid w:val="007A2717"/>
    <w:rsid w:val="007A3184"/>
    <w:rsid w:val="007B1758"/>
    <w:rsid w:val="007B1E6E"/>
    <w:rsid w:val="007C391B"/>
    <w:rsid w:val="007C60BC"/>
    <w:rsid w:val="007C6E8F"/>
    <w:rsid w:val="00800781"/>
    <w:rsid w:val="00801C25"/>
    <w:rsid w:val="008067B1"/>
    <w:rsid w:val="008520AE"/>
    <w:rsid w:val="008613B8"/>
    <w:rsid w:val="008A7A24"/>
    <w:rsid w:val="00901EFE"/>
    <w:rsid w:val="00913220"/>
    <w:rsid w:val="00917EAD"/>
    <w:rsid w:val="00920724"/>
    <w:rsid w:val="00994CF3"/>
    <w:rsid w:val="009A00EF"/>
    <w:rsid w:val="009C30A7"/>
    <w:rsid w:val="009D2299"/>
    <w:rsid w:val="009D5E10"/>
    <w:rsid w:val="009D7205"/>
    <w:rsid w:val="009F7802"/>
    <w:rsid w:val="00A039E7"/>
    <w:rsid w:val="00A17F09"/>
    <w:rsid w:val="00A37C88"/>
    <w:rsid w:val="00A5495D"/>
    <w:rsid w:val="00AB2059"/>
    <w:rsid w:val="00AC3BC7"/>
    <w:rsid w:val="00AE21A9"/>
    <w:rsid w:val="00AE3E1C"/>
    <w:rsid w:val="00AF7F5F"/>
    <w:rsid w:val="00B423B5"/>
    <w:rsid w:val="00B43193"/>
    <w:rsid w:val="00B456A3"/>
    <w:rsid w:val="00B50656"/>
    <w:rsid w:val="00B66EF3"/>
    <w:rsid w:val="00B73237"/>
    <w:rsid w:val="00B8466D"/>
    <w:rsid w:val="00B859EF"/>
    <w:rsid w:val="00B93D43"/>
    <w:rsid w:val="00B95411"/>
    <w:rsid w:val="00B95584"/>
    <w:rsid w:val="00BA3EB3"/>
    <w:rsid w:val="00BA6341"/>
    <w:rsid w:val="00BC2A7B"/>
    <w:rsid w:val="00BF3657"/>
    <w:rsid w:val="00C410AA"/>
    <w:rsid w:val="00C42FCF"/>
    <w:rsid w:val="00C97637"/>
    <w:rsid w:val="00CC187F"/>
    <w:rsid w:val="00D149F2"/>
    <w:rsid w:val="00D54874"/>
    <w:rsid w:val="00D70354"/>
    <w:rsid w:val="00D817C6"/>
    <w:rsid w:val="00D82475"/>
    <w:rsid w:val="00D8382D"/>
    <w:rsid w:val="00D9521C"/>
    <w:rsid w:val="00DA09EB"/>
    <w:rsid w:val="00DA37A7"/>
    <w:rsid w:val="00DC6B79"/>
    <w:rsid w:val="00DE0103"/>
    <w:rsid w:val="00DF6863"/>
    <w:rsid w:val="00E35F68"/>
    <w:rsid w:val="00E44C39"/>
    <w:rsid w:val="00E6094C"/>
    <w:rsid w:val="00E62584"/>
    <w:rsid w:val="00E90052"/>
    <w:rsid w:val="00E95067"/>
    <w:rsid w:val="00EB1BE3"/>
    <w:rsid w:val="00EC3CD8"/>
    <w:rsid w:val="00ED17A0"/>
    <w:rsid w:val="00ED1F8B"/>
    <w:rsid w:val="00EF49B6"/>
    <w:rsid w:val="00F00AB7"/>
    <w:rsid w:val="00F07C01"/>
    <w:rsid w:val="00F11287"/>
    <w:rsid w:val="00F22695"/>
    <w:rsid w:val="00F31A62"/>
    <w:rsid w:val="00F32FF3"/>
    <w:rsid w:val="00F37253"/>
    <w:rsid w:val="00F56A56"/>
    <w:rsid w:val="00F63414"/>
    <w:rsid w:val="00F704EE"/>
    <w:rsid w:val="00F878DB"/>
    <w:rsid w:val="00FA5BBB"/>
    <w:rsid w:val="00FE3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FBCA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 w:type="paragraph" w:styleId="NormalWeb">
    <w:name w:val="Normal (Web)"/>
    <w:basedOn w:val="Normal"/>
    <w:uiPriority w:val="99"/>
    <w:unhideWhenUsed/>
    <w:rsid w:val="001279D8"/>
    <w:pPr>
      <w:spacing w:before="100" w:beforeAutospacing="1" w:after="100" w:afterAutospacing="1"/>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 w:type="paragraph" w:styleId="NormalWeb">
    <w:name w:val="Normal (Web)"/>
    <w:basedOn w:val="Normal"/>
    <w:uiPriority w:val="99"/>
    <w:unhideWhenUsed/>
    <w:rsid w:val="001279D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64834">
      <w:bodyDiv w:val="1"/>
      <w:marLeft w:val="0"/>
      <w:marRight w:val="0"/>
      <w:marTop w:val="0"/>
      <w:marBottom w:val="0"/>
      <w:divBdr>
        <w:top w:val="none" w:sz="0" w:space="0" w:color="auto"/>
        <w:left w:val="none" w:sz="0" w:space="0" w:color="auto"/>
        <w:bottom w:val="none" w:sz="0" w:space="0" w:color="auto"/>
        <w:right w:val="none" w:sz="0" w:space="0" w:color="auto"/>
      </w:divBdr>
    </w:div>
    <w:div w:id="180368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cme-nm.org" TargetMode="External"/><Relationship Id="rId9" Type="http://schemas.openxmlformats.org/officeDocument/2006/relationships/hyperlink" Target="http://scme-nm.org" TargetMode="External"/><Relationship Id="rId10" Type="http://schemas.openxmlformats.org/officeDocument/2006/relationships/hyperlink" Target="http://www.bio-li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746</Words>
  <Characters>4253</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No</vt:lpstr>
    </vt:vector>
  </TitlesOfParts>
  <Company>Intel Corporation</Company>
  <LinksUpToDate>false</LinksUpToDate>
  <CharactersWithSpaces>4990</CharactersWithSpaces>
  <SharedDoc>false</SharedDoc>
  <HLinks>
    <vt:vector size="12" baseType="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jlhyder</dc:creator>
  <cp:lastModifiedBy>MJ Willis</cp:lastModifiedBy>
  <cp:revision>3</cp:revision>
  <cp:lastPrinted>2017-08-23T18:20:00Z</cp:lastPrinted>
  <dcterms:created xsi:type="dcterms:W3CDTF">2017-08-23T18:20:00Z</dcterms:created>
  <dcterms:modified xsi:type="dcterms:W3CDTF">2017-08-23T18:25:00Z</dcterms:modified>
</cp:coreProperties>
</file>