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D701A" w14:textId="77777777" w:rsidR="00347D9F" w:rsidRDefault="00347D9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7977312" w14:textId="77777777" w:rsidTr="0081198E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DB25954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E19DB1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0F6A04E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070847D" w14:textId="77777777" w:rsidR="006217F2" w:rsidRDefault="006217F2" w:rsidP="00DF54BA"/>
        </w:tc>
      </w:tr>
    </w:tbl>
    <w:p w14:paraId="18265FB5" w14:textId="77777777" w:rsidR="0005565C" w:rsidRPr="00605BC8" w:rsidRDefault="007F497F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Diagnostic </w:t>
      </w:r>
      <w:proofErr w:type="spellStart"/>
      <w:r>
        <w:rPr>
          <w:b/>
          <w:sz w:val="48"/>
          <w:szCs w:val="48"/>
        </w:rPr>
        <w:t>BioMEMS</w:t>
      </w:r>
      <w:proofErr w:type="spellEnd"/>
      <w:r w:rsidR="007336B0">
        <w:rPr>
          <w:b/>
          <w:sz w:val="48"/>
          <w:szCs w:val="48"/>
        </w:rPr>
        <w:t xml:space="preserve"> Final Assessment</w:t>
      </w:r>
    </w:p>
    <w:p w14:paraId="13325C9A" w14:textId="77777777" w:rsidR="0005565C" w:rsidRPr="001A7425" w:rsidRDefault="007C3EDF" w:rsidP="004674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="0005565C" w:rsidRPr="001A7425">
        <w:rPr>
          <w:b/>
          <w:sz w:val="36"/>
          <w:szCs w:val="36"/>
        </w:rPr>
        <w:t xml:space="preserve"> Guide</w:t>
      </w:r>
    </w:p>
    <w:p w14:paraId="0E173C1E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467449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B920CA" w:rsidRPr="00B920CA" w14:paraId="2D65F43B" w14:textId="77777777" w:rsidTr="007336B0">
        <w:trPr>
          <w:cantSplit/>
          <w:trHeight w:val="143"/>
          <w:tblHeader/>
        </w:trPr>
        <w:tc>
          <w:tcPr>
            <w:tcW w:w="1125" w:type="dxa"/>
          </w:tcPr>
          <w:p w14:paraId="2C69F8E8" w14:textId="77777777" w:rsidR="00B920CA" w:rsidRPr="00B920CA" w:rsidRDefault="00B920CA" w:rsidP="007336B0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87EA3FC" w14:textId="77777777" w:rsidR="00B920CA" w:rsidRPr="00B920CA" w:rsidRDefault="00B920CA" w:rsidP="007336B0">
            <w:pPr>
              <w:keepNext/>
              <w:keepLines/>
              <w:rPr>
                <w:color w:val="000000"/>
              </w:rPr>
            </w:pPr>
          </w:p>
        </w:tc>
      </w:tr>
      <w:tr w:rsidR="00B920CA" w:rsidRPr="00B920CA" w14:paraId="7261DFB5" w14:textId="77777777" w:rsidTr="007336B0">
        <w:trPr>
          <w:cantSplit/>
          <w:trHeight w:val="576"/>
        </w:trPr>
        <w:tc>
          <w:tcPr>
            <w:tcW w:w="1125" w:type="dxa"/>
            <w:vAlign w:val="bottom"/>
          </w:tcPr>
          <w:p w14:paraId="3B5754AC" w14:textId="77777777" w:rsidR="00B920CA" w:rsidRPr="00B960A3" w:rsidRDefault="00B920CA" w:rsidP="007336B0">
            <w:pPr>
              <w:pStyle w:val="BodyText"/>
              <w:keepNext/>
              <w:keepLines/>
            </w:pPr>
            <w:bookmarkStart w:id="1" w:name="App_BioMEM_FA20_dldl161"/>
            <w:bookmarkEnd w:id="0"/>
          </w:p>
        </w:tc>
        <w:tc>
          <w:tcPr>
            <w:tcW w:w="9905" w:type="dxa"/>
            <w:vAlign w:val="bottom"/>
          </w:tcPr>
          <w:p w14:paraId="20583123" w14:textId="77777777" w:rsidR="00B920CA" w:rsidRPr="007336B0" w:rsidRDefault="00B920CA" w:rsidP="007336B0">
            <w:pPr>
              <w:pStyle w:val="lvl1Text"/>
              <w:rPr>
                <w:sz w:val="24"/>
                <w:szCs w:val="24"/>
              </w:rPr>
            </w:pPr>
            <w:r w:rsidRPr="007336B0">
              <w:rPr>
                <w:sz w:val="24"/>
                <w:szCs w:val="24"/>
              </w:rPr>
              <w:t>Notes to Instructor</w:t>
            </w:r>
          </w:p>
        </w:tc>
      </w:tr>
      <w:tr w:rsidR="00B920CA" w:rsidRPr="00B920CA" w14:paraId="128B6421" w14:textId="77777777" w:rsidTr="007336B0">
        <w:tc>
          <w:tcPr>
            <w:tcW w:w="1125" w:type="dxa"/>
          </w:tcPr>
          <w:p w14:paraId="2FD01459" w14:textId="77777777" w:rsidR="00B920CA" w:rsidRPr="00B920CA" w:rsidRDefault="00B920CA" w:rsidP="0081198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CA95BE5" w14:textId="77777777" w:rsidR="003D49E6" w:rsidRDefault="003D49E6" w:rsidP="00B920CA">
            <w:pPr>
              <w:keepNext/>
              <w:keepLines/>
              <w:rPr>
                <w:color w:val="000000"/>
              </w:rPr>
            </w:pPr>
          </w:p>
          <w:p w14:paraId="6837378E" w14:textId="77777777" w:rsidR="00B920CA" w:rsidRDefault="00B920CA" w:rsidP="00B920CA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This Diagnostic</w:t>
            </w:r>
            <w:r w:rsidR="007F497F">
              <w:rPr>
                <w:color w:val="000000"/>
              </w:rPr>
              <w:t xml:space="preserve"> </w:t>
            </w:r>
            <w:proofErr w:type="spellStart"/>
            <w:r w:rsidR="007F497F">
              <w:rPr>
                <w:color w:val="000000"/>
              </w:rPr>
              <w:t>BioMEMS</w:t>
            </w:r>
            <w:proofErr w:type="spellEnd"/>
            <w:r>
              <w:rPr>
                <w:color w:val="000000"/>
              </w:rPr>
              <w:t xml:space="preserve"> Assessment is a </w:t>
            </w:r>
            <w:r w:rsidR="007F497F">
              <w:rPr>
                <w:color w:val="000000"/>
              </w:rPr>
              <w:t>f</w:t>
            </w:r>
            <w:r>
              <w:rPr>
                <w:color w:val="000000"/>
              </w:rPr>
              <w:t xml:space="preserve">inal </w:t>
            </w:r>
            <w:r w:rsidR="007F497F">
              <w:rPr>
                <w:color w:val="000000"/>
              </w:rPr>
              <w:t xml:space="preserve">assessment on </w:t>
            </w:r>
            <w:proofErr w:type="spellStart"/>
            <w:r w:rsidR="007F497F">
              <w:rPr>
                <w:color w:val="000000"/>
              </w:rPr>
              <w:t>bioMEMS</w:t>
            </w:r>
            <w:proofErr w:type="spellEnd"/>
            <w:r w:rsidR="007F497F">
              <w:rPr>
                <w:color w:val="000000"/>
              </w:rPr>
              <w:t xml:space="preserve"> diagnostic devices</w:t>
            </w:r>
            <w:r>
              <w:rPr>
                <w:color w:val="000000"/>
              </w:rPr>
              <w:t xml:space="preserve">.  This </w:t>
            </w:r>
            <w:r w:rsidR="007F497F">
              <w:rPr>
                <w:color w:val="000000"/>
              </w:rPr>
              <w:t>assessment</w:t>
            </w:r>
            <w:r>
              <w:rPr>
                <w:color w:val="000000"/>
              </w:rPr>
              <w:t xml:space="preserve"> and its related primary knowledge and activity are part of the </w:t>
            </w:r>
            <w:r w:rsidRPr="00467449">
              <w:rPr>
                <w:i/>
                <w:color w:val="000000"/>
              </w:rPr>
              <w:t xml:space="preserve">Diagnostics </w:t>
            </w:r>
            <w:proofErr w:type="spellStart"/>
            <w:r w:rsidR="007F497F" w:rsidRPr="00467449">
              <w:rPr>
                <w:i/>
                <w:color w:val="000000"/>
              </w:rPr>
              <w:t>BioMEMS</w:t>
            </w:r>
            <w:proofErr w:type="spellEnd"/>
            <w:r w:rsidR="007F497F" w:rsidRPr="00467449">
              <w:rPr>
                <w:i/>
                <w:color w:val="000000"/>
              </w:rPr>
              <w:t xml:space="preserve"> Learning Module</w:t>
            </w:r>
            <w:r w:rsidR="007F497F">
              <w:rPr>
                <w:color w:val="000000"/>
              </w:rPr>
              <w:t>.</w:t>
            </w:r>
          </w:p>
          <w:p w14:paraId="295B3AD9" w14:textId="77777777" w:rsidR="00B920CA" w:rsidRDefault="00B920CA" w:rsidP="00B920CA">
            <w:pPr>
              <w:keepNext/>
              <w:keepLines/>
              <w:rPr>
                <w:color w:val="000000"/>
              </w:rPr>
            </w:pPr>
          </w:p>
          <w:p w14:paraId="2BED5EC4" w14:textId="77777777" w:rsidR="007F497F" w:rsidRDefault="007F497F" w:rsidP="007F497F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 w:rsidRPr="00467449">
              <w:rPr>
                <w:i/>
                <w:color w:val="000000"/>
              </w:rPr>
              <w:t xml:space="preserve">Diagnostics </w:t>
            </w:r>
            <w:proofErr w:type="spellStart"/>
            <w:r w:rsidRPr="00467449">
              <w:rPr>
                <w:i/>
                <w:color w:val="000000"/>
              </w:rPr>
              <w:t>BioMEMS</w:t>
            </w:r>
            <w:proofErr w:type="spellEnd"/>
            <w:r w:rsidRPr="00467449">
              <w:rPr>
                <w:i/>
                <w:color w:val="000000"/>
              </w:rPr>
              <w:t xml:space="preserve"> Learning Module</w:t>
            </w:r>
            <w:r w:rsidR="00467449">
              <w:rPr>
                <w:color w:val="000000"/>
              </w:rPr>
              <w:t xml:space="preserve"> consists of the following unit</w:t>
            </w:r>
            <w:r>
              <w:rPr>
                <w:color w:val="000000"/>
              </w:rPr>
              <w:t>s:</w:t>
            </w:r>
          </w:p>
          <w:p w14:paraId="4C594711" w14:textId="77777777" w:rsidR="007F497F" w:rsidRPr="007F497F" w:rsidRDefault="007F497F" w:rsidP="00A67FB9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7F497F">
              <w:rPr>
                <w:color w:val="000000"/>
              </w:rPr>
              <w:t xml:space="preserve">Diagnostics </w:t>
            </w:r>
            <w:proofErr w:type="spellStart"/>
            <w:r w:rsidRPr="007F497F">
              <w:rPr>
                <w:color w:val="000000"/>
              </w:rPr>
              <w:t>BioMEMS</w:t>
            </w:r>
            <w:proofErr w:type="spellEnd"/>
            <w:r w:rsidRPr="007F497F">
              <w:rPr>
                <w:color w:val="000000"/>
              </w:rPr>
              <w:t xml:space="preserve"> Overview Primary Knowledge</w:t>
            </w:r>
            <w:r w:rsidR="00467449">
              <w:rPr>
                <w:color w:val="000000"/>
              </w:rPr>
              <w:t xml:space="preserve"> (PK)</w:t>
            </w:r>
          </w:p>
          <w:p w14:paraId="1808240E" w14:textId="77777777" w:rsidR="007F497F" w:rsidRPr="007C4C87" w:rsidRDefault="007F497F" w:rsidP="00A67FB9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7C4C87">
              <w:rPr>
                <w:color w:val="000000"/>
              </w:rPr>
              <w:t xml:space="preserve">Diagnostics </w:t>
            </w:r>
            <w:proofErr w:type="spellStart"/>
            <w:r w:rsidRPr="007C4C87">
              <w:rPr>
                <w:color w:val="000000"/>
              </w:rPr>
              <w:t>BioMEMS</w:t>
            </w:r>
            <w:proofErr w:type="spellEnd"/>
            <w:r w:rsidRPr="007C4C87">
              <w:rPr>
                <w:color w:val="000000"/>
              </w:rPr>
              <w:t xml:space="preserve"> Research Activity</w:t>
            </w:r>
          </w:p>
          <w:p w14:paraId="0B5BEE80" w14:textId="77777777" w:rsidR="007F497F" w:rsidRPr="007F497F" w:rsidRDefault="007F497F" w:rsidP="00A67FB9">
            <w:pPr>
              <w:keepNext/>
              <w:keepLines/>
              <w:numPr>
                <w:ilvl w:val="0"/>
                <w:numId w:val="9"/>
              </w:numPr>
              <w:rPr>
                <w:b/>
                <w:color w:val="000000"/>
              </w:rPr>
            </w:pPr>
            <w:r w:rsidRPr="007F497F">
              <w:rPr>
                <w:b/>
                <w:color w:val="000000"/>
              </w:rPr>
              <w:t xml:space="preserve">Diagnostics </w:t>
            </w:r>
            <w:proofErr w:type="spellStart"/>
            <w:r w:rsidRPr="007F497F">
              <w:rPr>
                <w:b/>
                <w:color w:val="000000"/>
              </w:rPr>
              <w:t>BioMEMS</w:t>
            </w:r>
            <w:proofErr w:type="spellEnd"/>
            <w:r w:rsidRPr="007F497F">
              <w:rPr>
                <w:b/>
                <w:color w:val="000000"/>
              </w:rPr>
              <w:t xml:space="preserve"> </w:t>
            </w:r>
            <w:r w:rsidR="003D49E6">
              <w:rPr>
                <w:b/>
                <w:color w:val="000000"/>
              </w:rPr>
              <w:t xml:space="preserve">Final </w:t>
            </w:r>
            <w:r w:rsidRPr="007F497F">
              <w:rPr>
                <w:b/>
                <w:color w:val="000000"/>
              </w:rPr>
              <w:t>Assessment</w:t>
            </w:r>
          </w:p>
          <w:p w14:paraId="60D96DEE" w14:textId="77777777" w:rsidR="00B920CA" w:rsidRDefault="00B920CA" w:rsidP="00B920CA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05B1D9A" w14:textId="77777777" w:rsidR="007F497F" w:rsidRPr="00B920CA" w:rsidRDefault="007F497F" w:rsidP="00467449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B96E92" w:rsidRPr="00B96E92" w14:paraId="46249309" w14:textId="77777777" w:rsidTr="007336B0">
        <w:trPr>
          <w:cantSplit/>
          <w:trHeight w:val="576"/>
        </w:trPr>
        <w:tc>
          <w:tcPr>
            <w:tcW w:w="1125" w:type="dxa"/>
            <w:vAlign w:val="bottom"/>
          </w:tcPr>
          <w:p w14:paraId="088D0EE6" w14:textId="77777777" w:rsidR="00B96E92" w:rsidRPr="00B960A3" w:rsidRDefault="00B96E92" w:rsidP="007336B0">
            <w:pPr>
              <w:pStyle w:val="BodyText"/>
              <w:keepNext/>
              <w:keepLines/>
            </w:pPr>
            <w:bookmarkStart w:id="2" w:name="App_BioMEM_FA20_dldl76"/>
            <w:bookmarkEnd w:id="1"/>
          </w:p>
        </w:tc>
        <w:tc>
          <w:tcPr>
            <w:tcW w:w="9905" w:type="dxa"/>
            <w:vAlign w:val="bottom"/>
          </w:tcPr>
          <w:p w14:paraId="268136EB" w14:textId="77777777" w:rsidR="00B96E92" w:rsidRPr="007336B0" w:rsidRDefault="00B96E92" w:rsidP="007336B0">
            <w:pPr>
              <w:pStyle w:val="lvl1Text"/>
              <w:rPr>
                <w:sz w:val="24"/>
                <w:szCs w:val="24"/>
              </w:rPr>
            </w:pPr>
            <w:r w:rsidRPr="007336B0">
              <w:rPr>
                <w:sz w:val="24"/>
                <w:szCs w:val="24"/>
              </w:rPr>
              <w:t>Introduction</w:t>
            </w:r>
          </w:p>
        </w:tc>
      </w:tr>
      <w:tr w:rsidR="00B96E92" w:rsidRPr="00B96E92" w14:paraId="1BD9BB7F" w14:textId="77777777" w:rsidTr="007336B0">
        <w:tc>
          <w:tcPr>
            <w:tcW w:w="1125" w:type="dxa"/>
          </w:tcPr>
          <w:p w14:paraId="0429ACEB" w14:textId="77777777" w:rsidR="00B96E92" w:rsidRPr="00B96E92" w:rsidRDefault="00B96E92" w:rsidP="0081198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DDB7562" w14:textId="77777777" w:rsidR="003D49E6" w:rsidRDefault="003D49E6" w:rsidP="00B96E92">
            <w:pPr>
              <w:keepNext/>
              <w:keepLines/>
              <w:rPr>
                <w:color w:val="000000"/>
              </w:rPr>
            </w:pPr>
          </w:p>
          <w:p w14:paraId="77330B69" w14:textId="77777777" w:rsidR="00B96E92" w:rsidRDefault="00B96E92" w:rsidP="00B96E9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The purpose of this assessment is to determine </w:t>
            </w:r>
            <w:r w:rsidR="003D49E6">
              <w:rPr>
                <w:color w:val="000000"/>
              </w:rPr>
              <w:t xml:space="preserve">your </w:t>
            </w:r>
            <w:r>
              <w:rPr>
                <w:color w:val="000000"/>
              </w:rPr>
              <w:t xml:space="preserve">understanding of </w:t>
            </w:r>
            <w:proofErr w:type="spellStart"/>
            <w:r>
              <w:rPr>
                <w:color w:val="000000"/>
              </w:rPr>
              <w:t>bioMEMS</w:t>
            </w:r>
            <w:proofErr w:type="spellEnd"/>
            <w:r>
              <w:rPr>
                <w:color w:val="000000"/>
              </w:rPr>
              <w:t xml:space="preserve"> diagnostics applications and devices.  This knowledge leads to an understanding of the importance of diagnostics in </w:t>
            </w:r>
            <w:proofErr w:type="spellStart"/>
            <w:r>
              <w:rPr>
                <w:color w:val="000000"/>
              </w:rPr>
              <w:t>BioMEMS</w:t>
            </w:r>
            <w:proofErr w:type="spellEnd"/>
            <w:r>
              <w:rPr>
                <w:color w:val="000000"/>
              </w:rPr>
              <w:t xml:space="preserve"> applications.</w:t>
            </w:r>
          </w:p>
          <w:p w14:paraId="7C49C10A" w14:textId="77777777" w:rsidR="00B96E92" w:rsidRDefault="00B96E92" w:rsidP="00B96E92">
            <w:pPr>
              <w:keepNext/>
              <w:keepLines/>
              <w:rPr>
                <w:color w:val="000000"/>
              </w:rPr>
            </w:pPr>
          </w:p>
          <w:p w14:paraId="347F8D40" w14:textId="77777777" w:rsidR="00B96E92" w:rsidRDefault="00B96E92" w:rsidP="00B66E5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There are </w:t>
            </w:r>
            <w:r w:rsidR="00B66E5C">
              <w:rPr>
                <w:color w:val="000000"/>
              </w:rPr>
              <w:t>ten (10)</w:t>
            </w:r>
            <w:r>
              <w:rPr>
                <w:color w:val="000000"/>
              </w:rPr>
              <w:t xml:space="preserve"> assessment questions.</w:t>
            </w:r>
          </w:p>
          <w:p w14:paraId="1C5AAA64" w14:textId="77777777" w:rsidR="00467449" w:rsidRDefault="00467449" w:rsidP="00B66E5C">
            <w:pPr>
              <w:keepNext/>
              <w:keepLines/>
              <w:rPr>
                <w:color w:val="000000"/>
              </w:rPr>
            </w:pPr>
          </w:p>
          <w:p w14:paraId="5D478582" w14:textId="77777777" w:rsidR="00467449" w:rsidRPr="00B96E92" w:rsidRDefault="00467449" w:rsidP="00B66E5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0AFAC6DD" w14:textId="77777777" w:rsidR="003B3B7D" w:rsidRPr="003B3B7D" w:rsidRDefault="003B3B7D" w:rsidP="003B3B7D">
      <w:pPr>
        <w:rPr>
          <w:vanish/>
        </w:rPr>
      </w:pPr>
      <w:bookmarkStart w:id="3" w:name="App_BioMEM_FA20_quid17"/>
      <w:bookmarkEnd w:id="2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05"/>
      </w:tblGrid>
      <w:tr w:rsidR="00B96E92" w:rsidRPr="00B96E92" w14:paraId="18BC474C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51ABC9F3" w14:textId="77777777" w:rsidR="00B96E92" w:rsidRPr="003D02B5" w:rsidRDefault="00B96E92" w:rsidP="007336B0">
            <w:pPr>
              <w:pStyle w:val="stepsnumbered"/>
            </w:pPr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466F5BEC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What are two stumbling blocks for the dev</w:t>
            </w:r>
            <w:r w:rsidR="00E92DB2">
              <w:rPr>
                <w:b/>
                <w:szCs w:val="20"/>
              </w:rPr>
              <w:t xml:space="preserve">elopment and use of diagnostic </w:t>
            </w:r>
            <w:proofErr w:type="spellStart"/>
            <w:r w:rsidR="00E92DB2">
              <w:rPr>
                <w:b/>
                <w:szCs w:val="20"/>
              </w:rPr>
              <w:t>b</w:t>
            </w:r>
            <w:r>
              <w:rPr>
                <w:b/>
                <w:szCs w:val="20"/>
              </w:rPr>
              <w:t>ioMEM</w:t>
            </w:r>
            <w:r w:rsidR="00051035">
              <w:rPr>
                <w:b/>
                <w:szCs w:val="20"/>
              </w:rPr>
              <w:t>S</w:t>
            </w:r>
            <w:proofErr w:type="spellEnd"/>
            <w:r>
              <w:rPr>
                <w:b/>
                <w:szCs w:val="20"/>
              </w:rPr>
              <w:t xml:space="preserve"> devices?</w:t>
            </w:r>
          </w:p>
          <w:p w14:paraId="3926551C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0E9BEDFD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0F05BC15" w14:textId="77777777" w:rsidR="00B96E92" w:rsidRDefault="003D49E6" w:rsidP="003D49E6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3D49E6">
              <w:rPr>
                <w:b/>
                <w:i/>
                <w:color w:val="C00000"/>
                <w:szCs w:val="20"/>
              </w:rPr>
              <w:t>Answer:  I</w:t>
            </w:r>
            <w:r w:rsidR="00B2094B" w:rsidRPr="003D49E6">
              <w:rPr>
                <w:b/>
                <w:i/>
                <w:color w:val="C00000"/>
                <w:szCs w:val="20"/>
              </w:rPr>
              <w:t xml:space="preserve">t is </w:t>
            </w:r>
            <w:r w:rsidR="00467449">
              <w:rPr>
                <w:b/>
                <w:i/>
                <w:color w:val="C00000"/>
                <w:szCs w:val="20"/>
              </w:rPr>
              <w:t xml:space="preserve">a relatively </w:t>
            </w:r>
            <w:r w:rsidR="00B2094B" w:rsidRPr="003D49E6">
              <w:rPr>
                <w:b/>
                <w:i/>
                <w:color w:val="C00000"/>
                <w:szCs w:val="20"/>
              </w:rPr>
              <w:t>new</w:t>
            </w:r>
            <w:r w:rsidR="00467449">
              <w:rPr>
                <w:b/>
                <w:i/>
                <w:color w:val="C00000"/>
                <w:szCs w:val="20"/>
              </w:rPr>
              <w:t>er</w:t>
            </w:r>
            <w:r w:rsidR="00B2094B" w:rsidRPr="003D49E6">
              <w:rPr>
                <w:b/>
                <w:i/>
                <w:color w:val="C00000"/>
                <w:szCs w:val="20"/>
              </w:rPr>
              <w:t xml:space="preserve"> technology</w:t>
            </w:r>
            <w:r>
              <w:rPr>
                <w:b/>
                <w:i/>
                <w:color w:val="C00000"/>
                <w:szCs w:val="20"/>
              </w:rPr>
              <w:t>,</w:t>
            </w:r>
            <w:r w:rsidR="00B2094B" w:rsidRPr="003D49E6">
              <w:rPr>
                <w:b/>
                <w:i/>
                <w:color w:val="C00000"/>
                <w:szCs w:val="20"/>
              </w:rPr>
              <w:t xml:space="preserve"> </w:t>
            </w:r>
            <w:r w:rsidRPr="003D49E6">
              <w:rPr>
                <w:b/>
                <w:i/>
                <w:color w:val="C00000"/>
                <w:szCs w:val="20"/>
              </w:rPr>
              <w:t>the physics of atoms dominate</w:t>
            </w:r>
            <w:r w:rsidR="00B2094B" w:rsidRPr="003D49E6">
              <w:rPr>
                <w:b/>
                <w:i/>
                <w:color w:val="C00000"/>
                <w:szCs w:val="20"/>
              </w:rPr>
              <w:t xml:space="preserve"> in the </w:t>
            </w:r>
            <w:proofErr w:type="spellStart"/>
            <w:r w:rsidR="00B2094B" w:rsidRPr="003D49E6">
              <w:rPr>
                <w:b/>
                <w:i/>
                <w:color w:val="C00000"/>
                <w:szCs w:val="20"/>
              </w:rPr>
              <w:t>nano</w:t>
            </w:r>
            <w:proofErr w:type="spellEnd"/>
            <w:r w:rsidR="00B2094B" w:rsidRPr="003D49E6">
              <w:rPr>
                <w:b/>
                <w:i/>
                <w:color w:val="C00000"/>
                <w:szCs w:val="20"/>
              </w:rPr>
              <w:t>-</w:t>
            </w:r>
            <w:r>
              <w:rPr>
                <w:b/>
                <w:i/>
                <w:color w:val="C00000"/>
                <w:szCs w:val="20"/>
              </w:rPr>
              <w:t>scale</w:t>
            </w:r>
            <w:r w:rsidR="00B2094B" w:rsidRPr="003D49E6">
              <w:rPr>
                <w:b/>
                <w:i/>
                <w:color w:val="C00000"/>
                <w:szCs w:val="20"/>
              </w:rPr>
              <w:t xml:space="preserve"> (which can have different principles than </w:t>
            </w:r>
            <w:r w:rsidR="00E92DB2">
              <w:rPr>
                <w:b/>
                <w:i/>
                <w:color w:val="C00000"/>
                <w:szCs w:val="20"/>
              </w:rPr>
              <w:t xml:space="preserve">in </w:t>
            </w:r>
            <w:r w:rsidR="00B2094B" w:rsidRPr="003D49E6">
              <w:rPr>
                <w:b/>
                <w:i/>
                <w:color w:val="C00000"/>
                <w:szCs w:val="20"/>
              </w:rPr>
              <w:t xml:space="preserve">other </w:t>
            </w:r>
            <w:r>
              <w:rPr>
                <w:b/>
                <w:i/>
                <w:color w:val="C00000"/>
                <w:szCs w:val="20"/>
              </w:rPr>
              <w:t>scales</w:t>
            </w:r>
            <w:r w:rsidR="00B2094B" w:rsidRPr="003D49E6">
              <w:rPr>
                <w:b/>
                <w:i/>
                <w:color w:val="C00000"/>
                <w:szCs w:val="20"/>
              </w:rPr>
              <w:t>)</w:t>
            </w:r>
            <w:r>
              <w:rPr>
                <w:b/>
                <w:i/>
                <w:color w:val="C00000"/>
                <w:szCs w:val="20"/>
              </w:rPr>
              <w:t xml:space="preserve">, </w:t>
            </w:r>
            <w:proofErr w:type="gramStart"/>
            <w:r>
              <w:rPr>
                <w:b/>
                <w:i/>
                <w:color w:val="C00000"/>
                <w:szCs w:val="20"/>
              </w:rPr>
              <w:t>the diagnostic biomarker must be identifiable in a small sample size</w:t>
            </w:r>
            <w:proofErr w:type="gramEnd"/>
            <w:r>
              <w:rPr>
                <w:b/>
                <w:i/>
                <w:color w:val="C00000"/>
                <w:szCs w:val="20"/>
              </w:rPr>
              <w:t xml:space="preserve"> (micro to </w:t>
            </w:r>
            <w:proofErr w:type="spellStart"/>
            <w:r>
              <w:rPr>
                <w:b/>
                <w:i/>
                <w:color w:val="C00000"/>
                <w:szCs w:val="20"/>
              </w:rPr>
              <w:t>picoliter</w:t>
            </w:r>
            <w:proofErr w:type="spellEnd"/>
            <w:r>
              <w:rPr>
                <w:b/>
                <w:i/>
                <w:color w:val="C00000"/>
                <w:szCs w:val="20"/>
              </w:rPr>
              <w:t>).</w:t>
            </w:r>
          </w:p>
          <w:p w14:paraId="6A0D3BCE" w14:textId="77777777" w:rsidR="00BB18D8" w:rsidRPr="003D49E6" w:rsidRDefault="00BB18D8" w:rsidP="003D49E6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3F933F4B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0A07F2F3" w14:textId="77777777" w:rsidR="00B96E92" w:rsidRPr="003D02B5" w:rsidRDefault="00B96E92" w:rsidP="007336B0">
            <w:pPr>
              <w:pStyle w:val="stepsnumbered"/>
            </w:pPr>
            <w:bookmarkStart w:id="4" w:name="App_BioMEM_FA20_quid18"/>
            <w:bookmarkEnd w:id="3"/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6DFFFA90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What </w:t>
            </w:r>
            <w:r w:rsidR="003D49E6">
              <w:rPr>
                <w:b/>
                <w:szCs w:val="20"/>
              </w:rPr>
              <w:t xml:space="preserve">characteristics of </w:t>
            </w:r>
            <w:proofErr w:type="spellStart"/>
            <w:r w:rsidR="003D49E6">
              <w:rPr>
                <w:b/>
                <w:szCs w:val="20"/>
              </w:rPr>
              <w:t>bioMEMS</w:t>
            </w:r>
            <w:proofErr w:type="spellEnd"/>
            <w:r w:rsidR="003D49E6">
              <w:rPr>
                <w:b/>
                <w:szCs w:val="20"/>
              </w:rPr>
              <w:t xml:space="preserve"> make them advantageous </w:t>
            </w:r>
            <w:r>
              <w:rPr>
                <w:b/>
                <w:szCs w:val="20"/>
              </w:rPr>
              <w:t xml:space="preserve">for </w:t>
            </w:r>
            <w:r w:rsidR="003D49E6">
              <w:rPr>
                <w:b/>
                <w:szCs w:val="20"/>
              </w:rPr>
              <w:t>diagnostic testing?</w:t>
            </w:r>
          </w:p>
          <w:p w14:paraId="103C5F8D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772A53CD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2DDDC66D" w14:textId="77777777" w:rsidR="00B96E92" w:rsidRDefault="003D49E6" w:rsidP="003D49E6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3D49E6">
              <w:rPr>
                <w:b/>
                <w:i/>
                <w:color w:val="C00000"/>
                <w:szCs w:val="20"/>
              </w:rPr>
              <w:t xml:space="preserve">Answer:  </w:t>
            </w:r>
            <w:r>
              <w:rPr>
                <w:b/>
                <w:i/>
                <w:color w:val="C00000"/>
                <w:szCs w:val="20"/>
              </w:rPr>
              <w:t>M</w:t>
            </w:r>
            <w:r w:rsidR="00B96E92" w:rsidRPr="003D49E6">
              <w:rPr>
                <w:b/>
                <w:i/>
                <w:color w:val="C00000"/>
                <w:szCs w:val="20"/>
              </w:rPr>
              <w:t>iniaturization, the possibilities for point-of-care and in vitro</w:t>
            </w:r>
            <w:r>
              <w:rPr>
                <w:b/>
                <w:i/>
                <w:color w:val="C00000"/>
                <w:szCs w:val="20"/>
              </w:rPr>
              <w:t>/in vivo</w:t>
            </w:r>
            <w:r w:rsidR="00B96E92" w:rsidRPr="003D49E6">
              <w:rPr>
                <w:b/>
                <w:i/>
                <w:color w:val="C00000"/>
                <w:szCs w:val="20"/>
              </w:rPr>
              <w:t xml:space="preserve"> testing and monitoring, the ability to multiplex tests and samples, and the possibility for lower cost in health care.</w:t>
            </w:r>
          </w:p>
          <w:p w14:paraId="30120D41" w14:textId="77777777" w:rsidR="00BB18D8" w:rsidRPr="003D49E6" w:rsidRDefault="00BB18D8" w:rsidP="003D49E6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0C60B751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0EF0016E" w14:textId="77777777" w:rsidR="00B96E92" w:rsidRPr="003D02B5" w:rsidRDefault="00B96E92" w:rsidP="007336B0">
            <w:pPr>
              <w:pStyle w:val="stepsnumbered"/>
            </w:pPr>
            <w:bookmarkStart w:id="5" w:name="App_BioMEM_FA20_quid19"/>
            <w:bookmarkEnd w:id="4"/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2873A2FE" w14:textId="77777777" w:rsidR="00B96E92" w:rsidRDefault="00E81EF8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Name at least three</w:t>
            </w:r>
            <w:r w:rsidR="00B96E92">
              <w:rPr>
                <w:b/>
                <w:szCs w:val="20"/>
              </w:rPr>
              <w:t xml:space="preserve"> areas </w:t>
            </w:r>
            <w:r>
              <w:rPr>
                <w:b/>
                <w:szCs w:val="20"/>
              </w:rPr>
              <w:t>of</w:t>
            </w:r>
            <w:r w:rsidR="00B96E92">
              <w:rPr>
                <w:b/>
                <w:szCs w:val="20"/>
              </w:rPr>
              <w:t xml:space="preserve"> diagnostic medicine </w:t>
            </w:r>
            <w:r w:rsidR="00E92DB2">
              <w:rPr>
                <w:b/>
                <w:szCs w:val="20"/>
              </w:rPr>
              <w:t>that are being impacted</w:t>
            </w:r>
            <w:r>
              <w:rPr>
                <w:b/>
                <w:szCs w:val="20"/>
              </w:rPr>
              <w:t xml:space="preserve"> by </w:t>
            </w:r>
            <w:proofErr w:type="spellStart"/>
            <w:r>
              <w:rPr>
                <w:b/>
                <w:szCs w:val="20"/>
              </w:rPr>
              <w:t>bioMEMS</w:t>
            </w:r>
            <w:proofErr w:type="spellEnd"/>
            <w:r>
              <w:rPr>
                <w:b/>
                <w:szCs w:val="20"/>
              </w:rPr>
              <w:t xml:space="preserve"> devices</w:t>
            </w:r>
            <w:r w:rsidR="00B96E92">
              <w:rPr>
                <w:b/>
                <w:szCs w:val="20"/>
              </w:rPr>
              <w:t>?</w:t>
            </w:r>
          </w:p>
          <w:p w14:paraId="7740AF6E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079701E8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4730C6F8" w14:textId="77777777" w:rsidR="00B96E92" w:rsidRDefault="00E81EF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E81EF8">
              <w:rPr>
                <w:b/>
                <w:i/>
                <w:color w:val="C00000"/>
                <w:szCs w:val="20"/>
              </w:rPr>
              <w:t xml:space="preserve">Answer:  </w:t>
            </w:r>
            <w:r w:rsidR="00B96E92" w:rsidRPr="00E81EF8">
              <w:rPr>
                <w:b/>
                <w:i/>
                <w:color w:val="C00000"/>
                <w:szCs w:val="20"/>
              </w:rPr>
              <w:t>Clinical chemistry,</w:t>
            </w:r>
            <w:r w:rsidR="00467449">
              <w:rPr>
                <w:b/>
                <w:i/>
                <w:color w:val="C00000"/>
                <w:szCs w:val="20"/>
              </w:rPr>
              <w:t xml:space="preserve"> therapeutics, </w:t>
            </w:r>
            <w:r w:rsidR="00B96E92" w:rsidRPr="00E81EF8">
              <w:rPr>
                <w:b/>
                <w:i/>
                <w:color w:val="C00000"/>
                <w:szCs w:val="20"/>
              </w:rPr>
              <w:t>molecular diagnostics, patient examination and monitoring, and medical imaging.</w:t>
            </w:r>
            <w:r w:rsidR="00467449">
              <w:rPr>
                <w:b/>
                <w:i/>
                <w:color w:val="C00000"/>
                <w:szCs w:val="20"/>
              </w:rPr>
              <w:t xml:space="preserve">  </w:t>
            </w:r>
          </w:p>
          <w:p w14:paraId="354DFFF2" w14:textId="77777777" w:rsidR="00BB18D8" w:rsidRPr="00E81EF8" w:rsidRDefault="00BB18D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7454FAF2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75654E14" w14:textId="77777777" w:rsidR="00B96E92" w:rsidRPr="003D02B5" w:rsidRDefault="00B96E92" w:rsidP="007336B0">
            <w:pPr>
              <w:pStyle w:val="stepsnumbered"/>
            </w:pPr>
            <w:bookmarkStart w:id="6" w:name="App_BioMEM_FA20_quid20"/>
            <w:bookmarkEnd w:id="5"/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4A71432F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What is molecular diagnostics?</w:t>
            </w:r>
          </w:p>
          <w:p w14:paraId="762B4DE5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765832A3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309B9F83" w14:textId="77777777" w:rsidR="00B96E92" w:rsidRDefault="00E81EF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E81EF8">
              <w:rPr>
                <w:b/>
                <w:i/>
                <w:color w:val="C00000"/>
                <w:szCs w:val="20"/>
              </w:rPr>
              <w:t xml:space="preserve">Answer:  </w:t>
            </w:r>
            <w:r w:rsidR="00B96E92" w:rsidRPr="00E81EF8">
              <w:rPr>
                <w:b/>
                <w:i/>
                <w:color w:val="C00000"/>
                <w:szCs w:val="20"/>
              </w:rPr>
              <w:t>The use of genetic and molecular biology to diagnose genetic diseases and the presence of pathogenic organisms or viruses.</w:t>
            </w:r>
          </w:p>
          <w:p w14:paraId="5D4327A6" w14:textId="77777777" w:rsidR="00BB18D8" w:rsidRPr="00E81EF8" w:rsidRDefault="00BB18D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E81EF8" w:rsidRPr="00B96E92" w14:paraId="38F60F57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7B2C087A" w14:textId="77777777" w:rsidR="00E81EF8" w:rsidRPr="003D02B5" w:rsidRDefault="00E81EF8" w:rsidP="007336B0">
            <w:pPr>
              <w:pStyle w:val="stepsnumbered"/>
            </w:pPr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634E262E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What do µTAS and LOC stand for?</w:t>
            </w:r>
          </w:p>
          <w:p w14:paraId="481BA846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68135F0B" w14:textId="77777777" w:rsidR="00BB18D8" w:rsidRDefault="00BB18D8" w:rsidP="007336B0">
            <w:pPr>
              <w:pStyle w:val="BodyText"/>
              <w:rPr>
                <w:b/>
                <w:szCs w:val="20"/>
              </w:rPr>
            </w:pPr>
          </w:p>
          <w:p w14:paraId="4A320C20" w14:textId="77777777" w:rsidR="00E81EF8" w:rsidRDefault="00E81EF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E81EF8">
              <w:rPr>
                <w:b/>
                <w:i/>
                <w:color w:val="C00000"/>
                <w:szCs w:val="20"/>
              </w:rPr>
              <w:t>Answer:  micro-total-analysis-system and lab-on-a-chip</w:t>
            </w:r>
          </w:p>
          <w:p w14:paraId="7D080D60" w14:textId="77777777" w:rsidR="00BB18D8" w:rsidRPr="00E81EF8" w:rsidRDefault="00BB18D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34D6604C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52B752FF" w14:textId="77777777" w:rsidR="00B96E92" w:rsidRPr="003D02B5" w:rsidRDefault="00B96E92" w:rsidP="007336B0">
            <w:pPr>
              <w:pStyle w:val="stepsnumbered"/>
            </w:pPr>
            <w:bookmarkStart w:id="7" w:name="App_BioMEM_FA20_quid21"/>
            <w:bookmarkEnd w:id="6"/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5DF7EB09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What is the difference between a </w:t>
            </w:r>
            <w:r w:rsidR="007336B0" w:rsidRPr="007336B0">
              <w:rPr>
                <w:rFonts w:ascii="Symbol" w:hAnsi="Symbol"/>
                <w:b/>
                <w:szCs w:val="20"/>
              </w:rPr>
              <w:t></w:t>
            </w:r>
            <w:r w:rsidR="00467449">
              <w:rPr>
                <w:b/>
                <w:szCs w:val="20"/>
              </w:rPr>
              <w:t xml:space="preserve">TAS and </w:t>
            </w:r>
            <w:r>
              <w:rPr>
                <w:b/>
                <w:szCs w:val="20"/>
              </w:rPr>
              <w:t>LOC?</w:t>
            </w:r>
          </w:p>
          <w:p w14:paraId="0B008F6A" w14:textId="77777777" w:rsidR="00BB18D8" w:rsidRDefault="00BB18D8" w:rsidP="007336B0">
            <w:pPr>
              <w:pStyle w:val="BodyText"/>
              <w:rPr>
                <w:b/>
                <w:szCs w:val="20"/>
              </w:rPr>
            </w:pPr>
          </w:p>
          <w:p w14:paraId="2F8A9280" w14:textId="77777777" w:rsidR="00BB18D8" w:rsidRDefault="00BB18D8" w:rsidP="007336B0">
            <w:pPr>
              <w:pStyle w:val="BodyText"/>
              <w:rPr>
                <w:b/>
                <w:szCs w:val="20"/>
              </w:rPr>
            </w:pPr>
          </w:p>
          <w:p w14:paraId="72230CCB" w14:textId="77777777" w:rsidR="00B96E92" w:rsidRPr="00E81EF8" w:rsidRDefault="00E81EF8" w:rsidP="007336B0">
            <w:pPr>
              <w:pStyle w:val="BodyText"/>
              <w:rPr>
                <w:b/>
                <w:color w:val="C00000"/>
                <w:szCs w:val="20"/>
              </w:rPr>
            </w:pPr>
            <w:r w:rsidRPr="00E81EF8">
              <w:rPr>
                <w:b/>
                <w:color w:val="C00000"/>
                <w:szCs w:val="20"/>
              </w:rPr>
              <w:t>Answer:</w:t>
            </w:r>
          </w:p>
          <w:p w14:paraId="45AEAED9" w14:textId="77777777" w:rsidR="00B96E92" w:rsidRDefault="007336B0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E81EF8">
              <w:rPr>
                <w:rFonts w:ascii="Symbol" w:hAnsi="Symbol"/>
                <w:b/>
                <w:i/>
                <w:color w:val="C00000"/>
                <w:szCs w:val="20"/>
              </w:rPr>
              <w:t></w:t>
            </w:r>
            <w:r w:rsidR="00B96E92" w:rsidRPr="00E81EF8">
              <w:rPr>
                <w:b/>
                <w:i/>
                <w:color w:val="C00000"/>
                <w:szCs w:val="20"/>
              </w:rPr>
              <w:t xml:space="preserve">TAS performs a series of reactions and/or tests that result in a diagnostic answer.  Whereas a LOC can be a subset of a </w:t>
            </w:r>
            <w:r w:rsidRPr="00E81EF8">
              <w:rPr>
                <w:rFonts w:ascii="Symbol" w:hAnsi="Symbol"/>
                <w:b/>
                <w:i/>
                <w:color w:val="C00000"/>
                <w:szCs w:val="20"/>
              </w:rPr>
              <w:t></w:t>
            </w:r>
            <w:r w:rsidR="00B96E92" w:rsidRPr="00E81EF8">
              <w:rPr>
                <w:b/>
                <w:i/>
                <w:color w:val="C00000"/>
                <w:szCs w:val="20"/>
              </w:rPr>
              <w:t>TAS or not, but it performs only one test.</w:t>
            </w:r>
          </w:p>
          <w:p w14:paraId="59769246" w14:textId="77777777" w:rsidR="00BB18D8" w:rsidRPr="00E81EF8" w:rsidRDefault="00BB18D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37418AF0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1F39076C" w14:textId="77777777" w:rsidR="00B96E92" w:rsidRPr="003D02B5" w:rsidRDefault="00B96E92" w:rsidP="007336B0">
            <w:pPr>
              <w:pStyle w:val="stepsnumbered"/>
            </w:pPr>
            <w:bookmarkStart w:id="8" w:name="App_BioMEM_FA20_quid22"/>
            <w:bookmarkEnd w:id="7"/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69DE7C78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Define medical imaging.</w:t>
            </w:r>
          </w:p>
          <w:p w14:paraId="1759F751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71718B3B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2BF7481A" w14:textId="77777777" w:rsidR="00B96E92" w:rsidRDefault="00E81EF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  <w:r>
              <w:rPr>
                <w:b/>
                <w:i/>
                <w:color w:val="C00000"/>
                <w:szCs w:val="20"/>
              </w:rPr>
              <w:t xml:space="preserve">Answer:  </w:t>
            </w:r>
            <w:r w:rsidR="00B96E92" w:rsidRPr="00E81EF8">
              <w:rPr>
                <w:b/>
                <w:i/>
                <w:color w:val="C00000"/>
                <w:szCs w:val="20"/>
              </w:rPr>
              <w:t>Techniques and processes developed to produce medical images of the body for clinical purposes.</w:t>
            </w:r>
          </w:p>
          <w:p w14:paraId="4895D60D" w14:textId="77777777" w:rsidR="00BB18D8" w:rsidRPr="00E81EF8" w:rsidRDefault="00BB18D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</w:tbl>
    <w:p w14:paraId="687BE756" w14:textId="77777777" w:rsidR="00BB18D8" w:rsidRDefault="00BB18D8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05"/>
      </w:tblGrid>
      <w:tr w:rsidR="00E81EF8" w:rsidRPr="00B96E92" w14:paraId="6EADAC09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7466B963" w14:textId="77777777" w:rsidR="00E81EF8" w:rsidRPr="003D02B5" w:rsidRDefault="00E81EF8" w:rsidP="007336B0">
            <w:pPr>
              <w:pStyle w:val="stepsnumbered"/>
            </w:pPr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23E3016E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What is an example of medical imaging that </w:t>
            </w:r>
            <w:r w:rsidR="00E92DB2">
              <w:rPr>
                <w:b/>
                <w:szCs w:val="20"/>
              </w:rPr>
              <w:t>can be</w:t>
            </w:r>
            <w:r>
              <w:rPr>
                <w:b/>
                <w:szCs w:val="20"/>
              </w:rPr>
              <w:t xml:space="preserve"> improved by MEMS technology?</w:t>
            </w:r>
          </w:p>
          <w:p w14:paraId="56BA932E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4EAD2AB8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644CBAF8" w14:textId="77777777" w:rsidR="00E81EF8" w:rsidRPr="00E81EF8" w:rsidRDefault="00E81EF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E81EF8">
              <w:rPr>
                <w:b/>
                <w:i/>
                <w:color w:val="C00000"/>
                <w:szCs w:val="20"/>
              </w:rPr>
              <w:t>Answer:  endoscopies and colonoscopies</w:t>
            </w:r>
            <w:r w:rsidR="00E92DB2">
              <w:rPr>
                <w:b/>
                <w:i/>
                <w:color w:val="C00000"/>
                <w:szCs w:val="20"/>
              </w:rPr>
              <w:t>, seeing inside nasal cavities</w:t>
            </w:r>
            <w:r w:rsidR="00051035">
              <w:rPr>
                <w:b/>
                <w:i/>
                <w:color w:val="C00000"/>
                <w:szCs w:val="20"/>
              </w:rPr>
              <w:t xml:space="preserve"> (other answers may be applicable)</w:t>
            </w:r>
          </w:p>
        </w:tc>
      </w:tr>
    </w:tbl>
    <w:p w14:paraId="17ADBD59" w14:textId="77777777" w:rsidR="00E81EF8" w:rsidRDefault="00E81EF8">
      <w:bookmarkStart w:id="9" w:name="App_BioMEM_FA20_quid23"/>
      <w:bookmarkEnd w:id="8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05"/>
      </w:tblGrid>
      <w:tr w:rsidR="00B96E92" w:rsidRPr="00B96E92" w14:paraId="4134BBFA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7F45BE58" w14:textId="77777777" w:rsidR="00B96E92" w:rsidRPr="003D02B5" w:rsidRDefault="00B96E92" w:rsidP="007336B0">
            <w:pPr>
              <w:pStyle w:val="stepsnumbered"/>
            </w:pPr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31A42CF5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Based on the basic design of the artificial receptor LOC, how would you design a chip that would </w:t>
            </w:r>
            <w:r w:rsidR="00FE3886">
              <w:rPr>
                <w:b/>
                <w:szCs w:val="20"/>
              </w:rPr>
              <w:t>detect HIV</w:t>
            </w:r>
            <w:r>
              <w:rPr>
                <w:b/>
                <w:szCs w:val="20"/>
              </w:rPr>
              <w:t>?</w:t>
            </w:r>
          </w:p>
          <w:p w14:paraId="025D7791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56C0B0DE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394E2186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0568D93D" w14:textId="77777777" w:rsidR="00B96E92" w:rsidRDefault="00FE3886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E81EF8">
              <w:rPr>
                <w:b/>
                <w:i/>
                <w:color w:val="C00000"/>
                <w:szCs w:val="20"/>
              </w:rPr>
              <w:t xml:space="preserve">Answers will vary.  Evaluate the answer based on the </w:t>
            </w:r>
            <w:r w:rsidR="00E92DB2">
              <w:rPr>
                <w:b/>
                <w:i/>
                <w:color w:val="C00000"/>
                <w:szCs w:val="20"/>
              </w:rPr>
              <w:t xml:space="preserve">participant's understanding of </w:t>
            </w:r>
            <w:proofErr w:type="spellStart"/>
            <w:r w:rsidR="00E92DB2">
              <w:rPr>
                <w:b/>
                <w:i/>
                <w:color w:val="C00000"/>
                <w:szCs w:val="20"/>
              </w:rPr>
              <w:t>b</w:t>
            </w:r>
            <w:r w:rsidRPr="00E81EF8">
              <w:rPr>
                <w:b/>
                <w:i/>
                <w:color w:val="C00000"/>
                <w:szCs w:val="20"/>
              </w:rPr>
              <w:t>ioMEMS</w:t>
            </w:r>
            <w:proofErr w:type="spellEnd"/>
            <w:r w:rsidRPr="00E81EF8">
              <w:rPr>
                <w:b/>
                <w:i/>
                <w:color w:val="C00000"/>
                <w:szCs w:val="20"/>
              </w:rPr>
              <w:t xml:space="preserve"> diagnostic tools.</w:t>
            </w:r>
          </w:p>
          <w:p w14:paraId="2262BE8C" w14:textId="77777777" w:rsidR="00BB18D8" w:rsidRPr="00E81EF8" w:rsidRDefault="00BB18D8" w:rsidP="007336B0">
            <w:pPr>
              <w:pStyle w:val="BodyText"/>
              <w:rPr>
                <w:b/>
                <w:color w:val="C00000"/>
                <w:szCs w:val="20"/>
              </w:rPr>
            </w:pPr>
          </w:p>
        </w:tc>
      </w:tr>
      <w:tr w:rsidR="00B96E92" w:rsidRPr="00B96E92" w14:paraId="1F711467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1F1C4BBA" w14:textId="77777777" w:rsidR="00B96E92" w:rsidRPr="003D02B5" w:rsidRDefault="00B96E92" w:rsidP="007336B0">
            <w:pPr>
              <w:pStyle w:val="stepsnumbered"/>
            </w:pPr>
            <w:bookmarkStart w:id="10" w:name="App_BioMEM_FA20_quid24"/>
            <w:bookmarkEnd w:id="9"/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1B91D33F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Based on the advantages of diagnostic </w:t>
            </w:r>
            <w:proofErr w:type="spellStart"/>
            <w:r>
              <w:rPr>
                <w:b/>
                <w:szCs w:val="20"/>
              </w:rPr>
              <w:t>bioMEMS</w:t>
            </w:r>
            <w:proofErr w:type="spellEnd"/>
            <w:r>
              <w:rPr>
                <w:b/>
                <w:szCs w:val="20"/>
              </w:rPr>
              <w:t xml:space="preserve"> devices, pick one chronic condition that people may have (e.g. diabetes), and briefly explain how </w:t>
            </w:r>
            <w:r w:rsidR="00E81EF8">
              <w:rPr>
                <w:b/>
                <w:szCs w:val="20"/>
              </w:rPr>
              <w:t xml:space="preserve">that condition could benefit from continuous monitoring of </w:t>
            </w:r>
            <w:r>
              <w:rPr>
                <w:b/>
                <w:szCs w:val="20"/>
              </w:rPr>
              <w:t xml:space="preserve">an implantable </w:t>
            </w:r>
            <w:proofErr w:type="spellStart"/>
            <w:r>
              <w:rPr>
                <w:b/>
                <w:szCs w:val="20"/>
              </w:rPr>
              <w:t>bioMEMS</w:t>
            </w:r>
            <w:proofErr w:type="spellEnd"/>
            <w:r>
              <w:rPr>
                <w:b/>
                <w:szCs w:val="20"/>
              </w:rPr>
              <w:t>.</w:t>
            </w:r>
          </w:p>
          <w:p w14:paraId="4461E5F6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bookmarkStart w:id="11" w:name="_GoBack"/>
            <w:bookmarkEnd w:id="11"/>
          </w:p>
          <w:p w14:paraId="7ABFF28B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30C8B914" w14:textId="77777777" w:rsidR="00BB18D8" w:rsidRPr="00E81EF8" w:rsidRDefault="00FE3886" w:rsidP="007336B0">
            <w:pPr>
              <w:pStyle w:val="BodyText"/>
              <w:rPr>
                <w:b/>
                <w:color w:val="C00000"/>
                <w:szCs w:val="20"/>
              </w:rPr>
            </w:pPr>
            <w:r w:rsidRPr="00E81EF8">
              <w:rPr>
                <w:b/>
                <w:i/>
                <w:color w:val="C00000"/>
                <w:szCs w:val="20"/>
              </w:rPr>
              <w:t xml:space="preserve">Answers will vary.  Evaluate the answer based on the </w:t>
            </w:r>
            <w:r w:rsidR="00E92DB2">
              <w:rPr>
                <w:b/>
                <w:i/>
                <w:color w:val="C00000"/>
                <w:szCs w:val="20"/>
              </w:rPr>
              <w:t xml:space="preserve">participant's understanding of </w:t>
            </w:r>
            <w:proofErr w:type="spellStart"/>
            <w:r w:rsidR="00E92DB2">
              <w:rPr>
                <w:b/>
                <w:i/>
                <w:color w:val="C00000"/>
                <w:szCs w:val="20"/>
              </w:rPr>
              <w:t>b</w:t>
            </w:r>
            <w:r w:rsidRPr="00E81EF8">
              <w:rPr>
                <w:b/>
                <w:i/>
                <w:color w:val="C00000"/>
                <w:szCs w:val="20"/>
              </w:rPr>
              <w:t>ioMEMS</w:t>
            </w:r>
            <w:proofErr w:type="spellEnd"/>
            <w:r w:rsidRPr="00E81EF8">
              <w:rPr>
                <w:b/>
                <w:i/>
                <w:color w:val="C00000"/>
                <w:szCs w:val="20"/>
              </w:rPr>
              <w:t xml:space="preserve"> diagnostic tools.</w:t>
            </w:r>
          </w:p>
        </w:tc>
      </w:tr>
    </w:tbl>
    <w:p w14:paraId="5028689E" w14:textId="77777777" w:rsidR="003B3B7D" w:rsidRPr="003B3B7D" w:rsidRDefault="003B3B7D" w:rsidP="003B3B7D">
      <w:pPr>
        <w:rPr>
          <w:vanish/>
        </w:rPr>
      </w:pPr>
      <w:bookmarkStart w:id="12" w:name="App_BioMEM_PK20_dldl207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080"/>
      </w:tblGrid>
      <w:tr w:rsidR="00BB18D8" w:rsidRPr="003D2C54" w14:paraId="5EF88447" w14:textId="77777777" w:rsidTr="00BB18D8">
        <w:tc>
          <w:tcPr>
            <w:tcW w:w="925" w:type="dxa"/>
          </w:tcPr>
          <w:p w14:paraId="39424DE4" w14:textId="77777777" w:rsidR="00BB18D8" w:rsidRPr="003D2C54" w:rsidRDefault="00BB18D8" w:rsidP="00A67FB9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080" w:type="dxa"/>
          </w:tcPr>
          <w:p w14:paraId="3FB2EB29" w14:textId="77777777" w:rsidR="00177BBB" w:rsidRDefault="00177BBB" w:rsidP="002E6B2E">
            <w:pPr>
              <w:rPr>
                <w:i/>
                <w:color w:val="000000"/>
              </w:rPr>
            </w:pPr>
          </w:p>
          <w:p w14:paraId="4DF45ABC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3249CC25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542965DB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53356829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42E9D26C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1F3A57CC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1C46E96E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6775DCE7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2FA86FBF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6BD3C674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367148B3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32FEDEE8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76BA48FD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638F0287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0060CF30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1CF90542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184B7DE3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23292537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7C8567D9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24EDEADE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56580404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099EDE3B" w14:textId="77777777" w:rsidR="00467449" w:rsidRDefault="00467449" w:rsidP="00467449">
            <w:pPr>
              <w:keepNext/>
              <w:keepLines/>
              <w:rPr>
                <w:i/>
                <w:color w:val="000000"/>
              </w:rPr>
            </w:pPr>
          </w:p>
          <w:p w14:paraId="2EC02991" w14:textId="77777777" w:rsidR="00467449" w:rsidRDefault="00467449" w:rsidP="00467449">
            <w:pPr>
              <w:keepNext/>
              <w:keepLines/>
              <w:rPr>
                <w:i/>
              </w:rPr>
            </w:pPr>
            <w:r>
              <w:rPr>
                <w:i/>
                <w:color w:val="000000"/>
              </w:rPr>
              <w:t xml:space="preserve">The Diagnostic Learning Module was developed in conjunction with Bio-Link, </w:t>
            </w:r>
            <w:r w:rsidRPr="00587ED4">
              <w:rPr>
                <w:i/>
              </w:rPr>
              <w:t>a National Science Foundation Advanced Technological Education (ATE) Center for Biotechnology</w:t>
            </w:r>
            <w:r>
              <w:rPr>
                <w:i/>
              </w:rPr>
              <w:t xml:space="preserve"> @ </w:t>
            </w:r>
            <w:hyperlink r:id="rId13" w:history="1">
              <w:r w:rsidRPr="001D5E92">
                <w:rPr>
                  <w:rStyle w:val="Hyperlink"/>
                  <w:i/>
                </w:rPr>
                <w:t>www.bio-link.org</w:t>
              </w:r>
            </w:hyperlink>
            <w:r>
              <w:rPr>
                <w:i/>
              </w:rPr>
              <w:t xml:space="preserve">. </w:t>
            </w:r>
          </w:p>
          <w:p w14:paraId="1D0778FE" w14:textId="77777777" w:rsidR="00467449" w:rsidRPr="00587ED4" w:rsidRDefault="00467449" w:rsidP="00467449">
            <w:pPr>
              <w:keepNext/>
              <w:keepLines/>
              <w:rPr>
                <w:i/>
                <w:color w:val="000000"/>
              </w:rPr>
            </w:pPr>
            <w:r>
              <w:rPr>
                <w:i/>
              </w:rPr>
              <w:t xml:space="preserve"> </w:t>
            </w:r>
          </w:p>
          <w:p w14:paraId="42B96F88" w14:textId="77777777" w:rsidR="00BB18D8" w:rsidRPr="00BB18D8" w:rsidRDefault="00467449" w:rsidP="00467449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  <w:bookmarkEnd w:id="12"/>
    </w:tbl>
    <w:p w14:paraId="7EF789C1" w14:textId="77777777" w:rsidR="003B3B7D" w:rsidRPr="003B3B7D" w:rsidRDefault="003B3B7D" w:rsidP="003B3B7D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05"/>
      </w:tblGrid>
      <w:tr w:rsidR="00BB18D8" w:rsidRPr="00B96E92" w14:paraId="084BE522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796CBBE1" w14:textId="77777777" w:rsidR="00BB18D8" w:rsidRPr="003D02B5" w:rsidRDefault="00BB18D8" w:rsidP="00BB18D8">
            <w:pPr>
              <w:pStyle w:val="stepsnumbered"/>
              <w:numPr>
                <w:ilvl w:val="0"/>
                <w:numId w:val="0"/>
              </w:numPr>
            </w:pPr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5B708FDD" w14:textId="77777777" w:rsidR="00BB18D8" w:rsidRDefault="00BB18D8" w:rsidP="00BB18D8">
            <w:pPr>
              <w:pStyle w:val="BodyText"/>
              <w:rPr>
                <w:b/>
                <w:szCs w:val="20"/>
              </w:rPr>
            </w:pPr>
          </w:p>
        </w:tc>
      </w:tr>
    </w:tbl>
    <w:p w14:paraId="62A206A4" w14:textId="77777777" w:rsidR="00E2314B" w:rsidRDefault="00E2314B" w:rsidP="00467449">
      <w:bookmarkStart w:id="13" w:name="App_BioMEM_FA20_dldl165"/>
      <w:bookmarkEnd w:id="10"/>
      <w:bookmarkEnd w:id="13"/>
    </w:p>
    <w:sectPr w:rsidR="00E2314B" w:rsidSect="00467449">
      <w:headerReference w:type="default" r:id="rId15"/>
      <w:type w:val="continuous"/>
      <w:pgSz w:w="12240" w:h="15840"/>
      <w:pgMar w:top="1170" w:right="720" w:bottom="1530" w:left="720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AF203" w14:textId="77777777" w:rsidR="006758D9" w:rsidRDefault="006758D9">
      <w:r>
        <w:separator/>
      </w:r>
    </w:p>
  </w:endnote>
  <w:endnote w:type="continuationSeparator" w:id="0">
    <w:p w14:paraId="3544D3B9" w14:textId="77777777" w:rsidR="006758D9" w:rsidRDefault="0067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DB35D" w14:textId="77777777" w:rsidR="00D57370" w:rsidRDefault="00D57370">
    <w:pPr>
      <w:pStyle w:val="Footer"/>
    </w:pPr>
  </w:p>
  <w:p w14:paraId="3366BF3E" w14:textId="77777777" w:rsidR="00D57370" w:rsidRDefault="008B3501" w:rsidP="00EC6A39">
    <w:pPr>
      <w:pStyle w:val="Footer"/>
      <w:jc w:val="right"/>
    </w:pPr>
    <w:r>
      <w:rPr>
        <w:noProof/>
      </w:rPr>
      <w:drawing>
        <wp:inline distT="0" distB="0" distL="0" distR="0" wp14:anchorId="0B600148" wp14:editId="7D1DD3CF">
          <wp:extent cx="939800" cy="292100"/>
          <wp:effectExtent l="0" t="0" r="0" b="1270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483DD" w14:textId="77777777" w:rsidR="00BB18D8" w:rsidRPr="004B6382" w:rsidRDefault="00BB18D8" w:rsidP="00BB18D8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177BBB">
      <w:rPr>
        <w:i/>
        <w:sz w:val="22"/>
      </w:rPr>
      <w:tab/>
    </w:r>
    <w:r w:rsidR="00177BBB">
      <w:rPr>
        <w:i/>
        <w:sz w:val="22"/>
      </w:rPr>
      <w:tab/>
    </w:r>
    <w:r w:rsidR="00177BBB" w:rsidRPr="004B6382">
      <w:rPr>
        <w:b/>
        <w:i/>
        <w:sz w:val="22"/>
      </w:rPr>
      <w:t xml:space="preserve">Page </w:t>
    </w:r>
    <w:r w:rsidR="00177BBB" w:rsidRPr="004B6382">
      <w:rPr>
        <w:b/>
        <w:i/>
        <w:sz w:val="22"/>
      </w:rPr>
      <w:fldChar w:fldCharType="begin"/>
    </w:r>
    <w:r w:rsidR="00177BBB" w:rsidRPr="004B6382">
      <w:rPr>
        <w:b/>
        <w:i/>
        <w:sz w:val="22"/>
      </w:rPr>
      <w:instrText xml:space="preserve"> PAGE </w:instrText>
    </w:r>
    <w:r w:rsidR="00177BBB" w:rsidRPr="004B6382">
      <w:rPr>
        <w:b/>
        <w:i/>
        <w:sz w:val="22"/>
      </w:rPr>
      <w:fldChar w:fldCharType="separate"/>
    </w:r>
    <w:r w:rsidR="00467449">
      <w:rPr>
        <w:b/>
        <w:i/>
        <w:noProof/>
        <w:sz w:val="22"/>
      </w:rPr>
      <w:t>3</w:t>
    </w:r>
    <w:r w:rsidR="00177BBB" w:rsidRPr="004B6382">
      <w:rPr>
        <w:b/>
        <w:i/>
        <w:sz w:val="22"/>
      </w:rPr>
      <w:fldChar w:fldCharType="end"/>
    </w:r>
    <w:r w:rsidR="00177BBB" w:rsidRPr="004B6382">
      <w:rPr>
        <w:b/>
        <w:i/>
        <w:sz w:val="22"/>
      </w:rPr>
      <w:t xml:space="preserve"> of </w:t>
    </w:r>
    <w:r w:rsidR="00177BBB" w:rsidRPr="004B6382">
      <w:rPr>
        <w:b/>
        <w:i/>
        <w:sz w:val="22"/>
      </w:rPr>
      <w:fldChar w:fldCharType="begin"/>
    </w:r>
    <w:r w:rsidR="00177BBB" w:rsidRPr="004B6382">
      <w:rPr>
        <w:b/>
        <w:i/>
        <w:sz w:val="22"/>
      </w:rPr>
      <w:instrText xml:space="preserve"> NUMPAGES </w:instrText>
    </w:r>
    <w:r w:rsidR="00177BBB" w:rsidRPr="004B6382">
      <w:rPr>
        <w:b/>
        <w:i/>
        <w:sz w:val="22"/>
      </w:rPr>
      <w:fldChar w:fldCharType="separate"/>
    </w:r>
    <w:r w:rsidR="00467449">
      <w:rPr>
        <w:b/>
        <w:i/>
        <w:noProof/>
        <w:sz w:val="22"/>
      </w:rPr>
      <w:t>3</w:t>
    </w:r>
    <w:r w:rsidR="00177BBB" w:rsidRPr="004B6382">
      <w:rPr>
        <w:b/>
        <w:i/>
        <w:sz w:val="22"/>
      </w:rPr>
      <w:fldChar w:fldCharType="end"/>
    </w:r>
  </w:p>
  <w:p w14:paraId="20E39FB0" w14:textId="77777777" w:rsidR="00D57370" w:rsidRPr="00BB18D8" w:rsidRDefault="00BB18D8" w:rsidP="00BB18D8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467449">
      <w:rPr>
        <w:i/>
        <w:noProof/>
        <w:sz w:val="22"/>
      </w:rPr>
      <w:t>App_BioMEM_FA20_IG_August2017.docx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177BBB">
      <w:rPr>
        <w:b/>
        <w:i/>
        <w:sz w:val="22"/>
      </w:rPr>
      <w:t>Diagnostics MEMS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AB7F4" w14:textId="77777777" w:rsidR="00D57370" w:rsidRDefault="00D57370">
    <w:pPr>
      <w:pStyle w:val="Footer"/>
    </w:pPr>
  </w:p>
  <w:p w14:paraId="62DFE481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5B1BE" w14:textId="77777777" w:rsidR="006758D9" w:rsidRDefault="006758D9">
      <w:r>
        <w:separator/>
      </w:r>
    </w:p>
  </w:footnote>
  <w:footnote w:type="continuationSeparator" w:id="0">
    <w:p w14:paraId="53A5D64D" w14:textId="77777777" w:rsidR="006758D9" w:rsidRDefault="006758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4A79" w14:textId="77777777" w:rsidR="00D57370" w:rsidRDefault="008B3501" w:rsidP="00EC6A39">
    <w:pPr>
      <w:pStyle w:val="Header"/>
      <w:jc w:val="right"/>
    </w:pPr>
    <w:r>
      <w:rPr>
        <w:noProof/>
      </w:rPr>
      <w:drawing>
        <wp:inline distT="0" distB="0" distL="0" distR="0" wp14:anchorId="5A92563E" wp14:editId="3B035EFE">
          <wp:extent cx="939800" cy="292100"/>
          <wp:effectExtent l="0" t="0" r="0" b="1270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37C598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3F6D6" w14:textId="77777777" w:rsidR="00D57370" w:rsidRDefault="00D57370" w:rsidP="00EC6A39">
    <w:pPr>
      <w:pStyle w:val="Header"/>
      <w:jc w:val="right"/>
    </w:pPr>
  </w:p>
  <w:p w14:paraId="12B1440A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D28DF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5C3964"/>
    <w:multiLevelType w:val="hybridMultilevel"/>
    <w:tmpl w:val="F112D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4C3B"/>
    <w:rsid w:val="00022275"/>
    <w:rsid w:val="00040D75"/>
    <w:rsid w:val="00051035"/>
    <w:rsid w:val="000519F8"/>
    <w:rsid w:val="0005565C"/>
    <w:rsid w:val="00095B34"/>
    <w:rsid w:val="00097CC8"/>
    <w:rsid w:val="00097F2E"/>
    <w:rsid w:val="000B5E95"/>
    <w:rsid w:val="000C04B3"/>
    <w:rsid w:val="000C4088"/>
    <w:rsid w:val="000E33CF"/>
    <w:rsid w:val="000F1F79"/>
    <w:rsid w:val="00111E39"/>
    <w:rsid w:val="001131A8"/>
    <w:rsid w:val="0012192B"/>
    <w:rsid w:val="00131F84"/>
    <w:rsid w:val="0014607B"/>
    <w:rsid w:val="00155C96"/>
    <w:rsid w:val="00172A45"/>
    <w:rsid w:val="00172E99"/>
    <w:rsid w:val="00177BBB"/>
    <w:rsid w:val="00190D4B"/>
    <w:rsid w:val="001A7425"/>
    <w:rsid w:val="002119E1"/>
    <w:rsid w:val="002470CE"/>
    <w:rsid w:val="00260895"/>
    <w:rsid w:val="002A1736"/>
    <w:rsid w:val="002B02A8"/>
    <w:rsid w:val="002B64EE"/>
    <w:rsid w:val="002E6B2E"/>
    <w:rsid w:val="002F7867"/>
    <w:rsid w:val="003237FA"/>
    <w:rsid w:val="00347D9F"/>
    <w:rsid w:val="003531C6"/>
    <w:rsid w:val="00355290"/>
    <w:rsid w:val="003A0197"/>
    <w:rsid w:val="003A23E4"/>
    <w:rsid w:val="003A52A8"/>
    <w:rsid w:val="003A5B8A"/>
    <w:rsid w:val="003B3B7D"/>
    <w:rsid w:val="003B62F3"/>
    <w:rsid w:val="003D49E6"/>
    <w:rsid w:val="003E3BB8"/>
    <w:rsid w:val="00401B67"/>
    <w:rsid w:val="00410493"/>
    <w:rsid w:val="00423D4A"/>
    <w:rsid w:val="0043567D"/>
    <w:rsid w:val="00456E84"/>
    <w:rsid w:val="0046023B"/>
    <w:rsid w:val="00467449"/>
    <w:rsid w:val="00476BBB"/>
    <w:rsid w:val="004A55B0"/>
    <w:rsid w:val="004E43AF"/>
    <w:rsid w:val="004E489A"/>
    <w:rsid w:val="00516480"/>
    <w:rsid w:val="00525AEF"/>
    <w:rsid w:val="00526947"/>
    <w:rsid w:val="00530481"/>
    <w:rsid w:val="005460FD"/>
    <w:rsid w:val="005A0723"/>
    <w:rsid w:val="005C593C"/>
    <w:rsid w:val="005D0DFB"/>
    <w:rsid w:val="005D25E4"/>
    <w:rsid w:val="005E0B74"/>
    <w:rsid w:val="005F0D7E"/>
    <w:rsid w:val="005F2B0F"/>
    <w:rsid w:val="0062015A"/>
    <w:rsid w:val="006217F2"/>
    <w:rsid w:val="006758D9"/>
    <w:rsid w:val="006922A2"/>
    <w:rsid w:val="006F0C56"/>
    <w:rsid w:val="007113A2"/>
    <w:rsid w:val="00731C10"/>
    <w:rsid w:val="007336B0"/>
    <w:rsid w:val="00754242"/>
    <w:rsid w:val="007914DB"/>
    <w:rsid w:val="007C3EDF"/>
    <w:rsid w:val="007F497F"/>
    <w:rsid w:val="00810584"/>
    <w:rsid w:val="0081198E"/>
    <w:rsid w:val="00857197"/>
    <w:rsid w:val="008811DB"/>
    <w:rsid w:val="00881286"/>
    <w:rsid w:val="008B3501"/>
    <w:rsid w:val="008C7A99"/>
    <w:rsid w:val="008D4579"/>
    <w:rsid w:val="008D54B2"/>
    <w:rsid w:val="008F6A44"/>
    <w:rsid w:val="00911D63"/>
    <w:rsid w:val="0093016F"/>
    <w:rsid w:val="009308AE"/>
    <w:rsid w:val="0093397E"/>
    <w:rsid w:val="00943632"/>
    <w:rsid w:val="009475C1"/>
    <w:rsid w:val="00973FF2"/>
    <w:rsid w:val="0098351A"/>
    <w:rsid w:val="009946A8"/>
    <w:rsid w:val="0099785A"/>
    <w:rsid w:val="009A257F"/>
    <w:rsid w:val="009A79C4"/>
    <w:rsid w:val="009F1EA9"/>
    <w:rsid w:val="00A31583"/>
    <w:rsid w:val="00A52691"/>
    <w:rsid w:val="00A67FB9"/>
    <w:rsid w:val="00AD14AE"/>
    <w:rsid w:val="00B05761"/>
    <w:rsid w:val="00B2094B"/>
    <w:rsid w:val="00B5071A"/>
    <w:rsid w:val="00B66E5C"/>
    <w:rsid w:val="00B920CA"/>
    <w:rsid w:val="00B96E92"/>
    <w:rsid w:val="00BB18D8"/>
    <w:rsid w:val="00BD0D14"/>
    <w:rsid w:val="00BF4FEC"/>
    <w:rsid w:val="00BF5C1E"/>
    <w:rsid w:val="00C31830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57370"/>
    <w:rsid w:val="00D7491B"/>
    <w:rsid w:val="00DA23E5"/>
    <w:rsid w:val="00DA2E34"/>
    <w:rsid w:val="00DA7F38"/>
    <w:rsid w:val="00DD25B4"/>
    <w:rsid w:val="00DF54BA"/>
    <w:rsid w:val="00E2314B"/>
    <w:rsid w:val="00E54B53"/>
    <w:rsid w:val="00E81EF8"/>
    <w:rsid w:val="00E92DB2"/>
    <w:rsid w:val="00EA31C9"/>
    <w:rsid w:val="00EB6EA6"/>
    <w:rsid w:val="00EC364A"/>
    <w:rsid w:val="00EC58CF"/>
    <w:rsid w:val="00EC6A39"/>
    <w:rsid w:val="00EE47F6"/>
    <w:rsid w:val="00F32980"/>
    <w:rsid w:val="00F473EE"/>
    <w:rsid w:val="00F578DD"/>
    <w:rsid w:val="00F65E74"/>
    <w:rsid w:val="00F72140"/>
    <w:rsid w:val="00F7215A"/>
    <w:rsid w:val="00F77B61"/>
    <w:rsid w:val="00F91CB4"/>
    <w:rsid w:val="00FE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32852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B3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95B3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95B3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5B3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95B3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95B3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95B3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95B3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95B3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95B3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95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95B3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95B3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095B34"/>
    <w:rPr>
      <w:color w:val="800080"/>
      <w:u w:val="single"/>
    </w:rPr>
  </w:style>
  <w:style w:type="character" w:styleId="Hyperlink">
    <w:name w:val="Hyperlink"/>
    <w:rsid w:val="00095B3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95B34"/>
  </w:style>
  <w:style w:type="paragraph" w:styleId="TOC2">
    <w:name w:val="toc 2"/>
    <w:basedOn w:val="Normal"/>
    <w:next w:val="Normal"/>
    <w:autoRedefine/>
    <w:semiHidden/>
    <w:rsid w:val="00095B34"/>
    <w:pPr>
      <w:ind w:left="240"/>
    </w:pPr>
  </w:style>
  <w:style w:type="paragraph" w:styleId="TOC3">
    <w:name w:val="toc 3"/>
    <w:basedOn w:val="Normal"/>
    <w:next w:val="Normal"/>
    <w:autoRedefine/>
    <w:semiHidden/>
    <w:rsid w:val="00095B3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95B34"/>
    <w:pPr>
      <w:keepLines/>
    </w:pPr>
    <w:rPr>
      <w:color w:val="000000"/>
    </w:rPr>
  </w:style>
  <w:style w:type="paragraph" w:customStyle="1" w:styleId="dldl1">
    <w:name w:val="dldl1"/>
    <w:basedOn w:val="BodyText"/>
    <w:rsid w:val="00095B3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95B34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95B3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95B34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95B34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95B3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95B3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95B3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95B34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95B3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95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95B3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95B3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95B34"/>
    <w:pPr>
      <w:jc w:val="center"/>
    </w:pPr>
    <w:rPr>
      <w:b/>
    </w:rPr>
  </w:style>
  <w:style w:type="numbering" w:styleId="111111">
    <w:name w:val="Outline List 2"/>
    <w:basedOn w:val="NoList"/>
    <w:rsid w:val="00095B34"/>
    <w:pPr>
      <w:numPr>
        <w:numId w:val="2"/>
      </w:numPr>
    </w:pPr>
  </w:style>
  <w:style w:type="paragraph" w:customStyle="1" w:styleId="OINumber">
    <w:name w:val="OI_Number"/>
    <w:basedOn w:val="Normal"/>
    <w:rsid w:val="00095B34"/>
    <w:pPr>
      <w:spacing w:before="80"/>
    </w:pPr>
    <w:rPr>
      <w:b/>
      <w:sz w:val="16"/>
    </w:rPr>
  </w:style>
  <w:style w:type="paragraph" w:styleId="BodyText">
    <w:name w:val="Body Text"/>
    <w:basedOn w:val="Normal"/>
    <w:rsid w:val="00095B34"/>
    <w:rPr>
      <w:szCs w:val="22"/>
    </w:rPr>
  </w:style>
  <w:style w:type="paragraph" w:styleId="BodyText2">
    <w:name w:val="Body Text 2"/>
    <w:basedOn w:val="Normal"/>
    <w:rsid w:val="00095B34"/>
    <w:pPr>
      <w:spacing w:after="120" w:line="480" w:lineRule="auto"/>
    </w:pPr>
  </w:style>
  <w:style w:type="paragraph" w:customStyle="1" w:styleId="EffectiveDate0">
    <w:name w:val="Effective_Date"/>
    <w:basedOn w:val="Normal"/>
    <w:rsid w:val="00095B3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95B3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95B34"/>
    <w:pPr>
      <w:numPr>
        <w:numId w:val="8"/>
      </w:numPr>
    </w:pPr>
  </w:style>
  <w:style w:type="paragraph" w:customStyle="1" w:styleId="ColumnHeader">
    <w:name w:val="ColumnHeader"/>
    <w:basedOn w:val="BodyText"/>
    <w:rsid w:val="00095B3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95B3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95B34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BB18D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B3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95B3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95B3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5B3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95B3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95B3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95B3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95B3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95B3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95B3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95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95B3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95B3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095B34"/>
    <w:rPr>
      <w:color w:val="800080"/>
      <w:u w:val="single"/>
    </w:rPr>
  </w:style>
  <w:style w:type="character" w:styleId="Hyperlink">
    <w:name w:val="Hyperlink"/>
    <w:rsid w:val="00095B3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95B34"/>
  </w:style>
  <w:style w:type="paragraph" w:styleId="TOC2">
    <w:name w:val="toc 2"/>
    <w:basedOn w:val="Normal"/>
    <w:next w:val="Normal"/>
    <w:autoRedefine/>
    <w:semiHidden/>
    <w:rsid w:val="00095B34"/>
    <w:pPr>
      <w:ind w:left="240"/>
    </w:pPr>
  </w:style>
  <w:style w:type="paragraph" w:styleId="TOC3">
    <w:name w:val="toc 3"/>
    <w:basedOn w:val="Normal"/>
    <w:next w:val="Normal"/>
    <w:autoRedefine/>
    <w:semiHidden/>
    <w:rsid w:val="00095B3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95B34"/>
    <w:pPr>
      <w:keepLines/>
    </w:pPr>
    <w:rPr>
      <w:color w:val="000000"/>
    </w:rPr>
  </w:style>
  <w:style w:type="paragraph" w:customStyle="1" w:styleId="dldl1">
    <w:name w:val="dldl1"/>
    <w:basedOn w:val="BodyText"/>
    <w:rsid w:val="00095B3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95B34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95B3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95B34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95B34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95B3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95B3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95B3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95B34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95B3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95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95B3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95B3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95B34"/>
    <w:pPr>
      <w:jc w:val="center"/>
    </w:pPr>
    <w:rPr>
      <w:b/>
    </w:rPr>
  </w:style>
  <w:style w:type="numbering" w:styleId="111111">
    <w:name w:val="Outline List 2"/>
    <w:basedOn w:val="NoList"/>
    <w:rsid w:val="00095B34"/>
    <w:pPr>
      <w:numPr>
        <w:numId w:val="2"/>
      </w:numPr>
    </w:pPr>
  </w:style>
  <w:style w:type="paragraph" w:customStyle="1" w:styleId="OINumber">
    <w:name w:val="OI_Number"/>
    <w:basedOn w:val="Normal"/>
    <w:rsid w:val="00095B34"/>
    <w:pPr>
      <w:spacing w:before="80"/>
    </w:pPr>
    <w:rPr>
      <w:b/>
      <w:sz w:val="16"/>
    </w:rPr>
  </w:style>
  <w:style w:type="paragraph" w:styleId="BodyText">
    <w:name w:val="Body Text"/>
    <w:basedOn w:val="Normal"/>
    <w:rsid w:val="00095B34"/>
    <w:rPr>
      <w:szCs w:val="22"/>
    </w:rPr>
  </w:style>
  <w:style w:type="paragraph" w:styleId="BodyText2">
    <w:name w:val="Body Text 2"/>
    <w:basedOn w:val="Normal"/>
    <w:rsid w:val="00095B34"/>
    <w:pPr>
      <w:spacing w:after="120" w:line="480" w:lineRule="auto"/>
    </w:pPr>
  </w:style>
  <w:style w:type="paragraph" w:customStyle="1" w:styleId="EffectiveDate0">
    <w:name w:val="Effective_Date"/>
    <w:basedOn w:val="Normal"/>
    <w:rsid w:val="00095B3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95B3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95B34"/>
    <w:pPr>
      <w:numPr>
        <w:numId w:val="8"/>
      </w:numPr>
    </w:pPr>
  </w:style>
  <w:style w:type="paragraph" w:customStyle="1" w:styleId="ColumnHeader">
    <w:name w:val="ColumnHeader"/>
    <w:basedOn w:val="BodyText"/>
    <w:rsid w:val="00095B3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95B3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95B34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BB18D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www.bio-link.org" TargetMode="Externa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6</TotalTime>
  <Pages>3</Pages>
  <Words>526</Words>
  <Characters>3004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3523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2017-08-25T21:10:00Z</dcterms:created>
  <dcterms:modified xsi:type="dcterms:W3CDTF">2017-08-25T21:16:00Z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Diagnostics Overview Assessment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App_BioMEM_FA20</vt:lpwstr>
  </property>
  <property fmtid="{D5CDD505-2E9C-101B-9397-08002B2CF9AE}" pid="5" name="docPath">
    <vt:lpwstr>C:\xtProject\App_BioMEM_FA20\App_BioMEM_FA20.doc</vt:lpwstr>
  </property>
  <property fmtid="{D5CDD505-2E9C-101B-9397-08002B2CF9AE}" pid="6" name="Module Number">
    <vt:lpwstr>     </vt:lpwstr>
  </property>
  <property fmtid="{D5CDD505-2E9C-101B-9397-08002B2CF9AE}" pid="7" name="Copyright">
    <vt:lpwstr>c.2008 NSF-ATE</vt:lpwstr>
  </property>
</Properties>
</file>