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5D3B1D" w14:textId="77777777" w:rsidR="00D8382D" w:rsidRPr="004B4CE7" w:rsidRDefault="00D8382D" w:rsidP="00D8382D"/>
    <w:p w14:paraId="6FB1923C" w14:textId="77777777" w:rsidR="004E56CF" w:rsidRPr="00B03158" w:rsidRDefault="004E56CF" w:rsidP="004E56CF">
      <w:pPr>
        <w:jc w:val="center"/>
        <w:rPr>
          <w:b/>
          <w:sz w:val="32"/>
        </w:rPr>
      </w:pPr>
      <w:r w:rsidRPr="00B03158">
        <w:rPr>
          <w:b/>
          <w:sz w:val="32"/>
        </w:rPr>
        <w:t>Southwest Center for Microsystems Education (SCME)</w:t>
      </w:r>
    </w:p>
    <w:p w14:paraId="0A440BAD" w14:textId="77777777" w:rsidR="004E56CF" w:rsidRPr="00B03158" w:rsidRDefault="004E56CF" w:rsidP="004E56CF">
      <w:pPr>
        <w:jc w:val="center"/>
        <w:rPr>
          <w:b/>
          <w:sz w:val="32"/>
        </w:rPr>
      </w:pPr>
      <w:r w:rsidRPr="00B03158">
        <w:rPr>
          <w:b/>
          <w:sz w:val="32"/>
        </w:rPr>
        <w:t>University of New Mexico</w:t>
      </w:r>
    </w:p>
    <w:p w14:paraId="6F809355" w14:textId="77777777" w:rsidR="004E56CF" w:rsidRPr="00B03158" w:rsidRDefault="004E56CF" w:rsidP="004E56CF">
      <w:pPr>
        <w:jc w:val="center"/>
        <w:rPr>
          <w:b/>
          <w:sz w:val="32"/>
        </w:rPr>
      </w:pPr>
    </w:p>
    <w:p w14:paraId="32A11984" w14:textId="77777777" w:rsidR="004E56CF" w:rsidRDefault="004E56CF" w:rsidP="00596492">
      <w:pPr>
        <w:rPr>
          <w:b/>
          <w:sz w:val="32"/>
        </w:rPr>
      </w:pPr>
    </w:p>
    <w:p w14:paraId="695CBDAF" w14:textId="77777777" w:rsidR="004E56CF" w:rsidRPr="00A05FAF" w:rsidRDefault="00B307D8" w:rsidP="004E56CF">
      <w:pPr>
        <w:jc w:val="center"/>
        <w:rPr>
          <w:b/>
          <w:color w:val="C00000"/>
          <w:sz w:val="56"/>
        </w:rPr>
      </w:pPr>
      <w:r>
        <w:rPr>
          <w:b/>
          <w:color w:val="C00000"/>
          <w:sz w:val="56"/>
        </w:rPr>
        <w:t>Clinical Laboratory Techniques and Microtechnology</w:t>
      </w:r>
    </w:p>
    <w:p w14:paraId="25E5CF86" w14:textId="77777777" w:rsidR="004E56CF" w:rsidRDefault="004E56CF" w:rsidP="004E56CF">
      <w:pPr>
        <w:jc w:val="center"/>
        <w:rPr>
          <w:b/>
          <w:sz w:val="32"/>
        </w:rPr>
      </w:pPr>
    </w:p>
    <w:p w14:paraId="7C56FF33" w14:textId="25F6DAB7" w:rsidR="00F00AB7" w:rsidRPr="00B37343" w:rsidRDefault="00F00AB7" w:rsidP="00F00AB7">
      <w:pPr>
        <w:jc w:val="center"/>
        <w:rPr>
          <w:sz w:val="28"/>
          <w:u w:val="single"/>
        </w:rPr>
      </w:pPr>
      <w:r w:rsidRPr="00B37343">
        <w:rPr>
          <w:sz w:val="28"/>
          <w:u w:val="single"/>
        </w:rPr>
        <w:t xml:space="preserve">This booklet contains </w:t>
      </w:r>
      <w:r w:rsidR="00AC5EF2">
        <w:rPr>
          <w:sz w:val="28"/>
          <w:u w:val="single"/>
        </w:rPr>
        <w:t>four (4</w:t>
      </w:r>
      <w:r w:rsidR="00B307D8">
        <w:rPr>
          <w:sz w:val="28"/>
          <w:u w:val="single"/>
        </w:rPr>
        <w:t>)</w:t>
      </w:r>
      <w:r w:rsidRPr="00B37343">
        <w:rPr>
          <w:sz w:val="28"/>
          <w:u w:val="single"/>
        </w:rPr>
        <w:t xml:space="preserve"> </w:t>
      </w:r>
      <w:r w:rsidR="00596492">
        <w:rPr>
          <w:sz w:val="28"/>
          <w:u w:val="single"/>
        </w:rPr>
        <w:t>units</w:t>
      </w:r>
      <w:r w:rsidRPr="00B37343">
        <w:rPr>
          <w:sz w:val="28"/>
          <w:u w:val="single"/>
        </w:rPr>
        <w:t>:</w:t>
      </w:r>
    </w:p>
    <w:p w14:paraId="30893839" w14:textId="77777777" w:rsidR="000065A3" w:rsidRDefault="000065A3" w:rsidP="00F00AB7">
      <w:pPr>
        <w:jc w:val="center"/>
        <w:rPr>
          <w:sz w:val="28"/>
        </w:rPr>
      </w:pPr>
      <w:r>
        <w:rPr>
          <w:sz w:val="28"/>
        </w:rPr>
        <w:t>Knowledge Probe</w:t>
      </w:r>
      <w:r w:rsidR="00596492">
        <w:rPr>
          <w:sz w:val="28"/>
        </w:rPr>
        <w:t xml:space="preserve"> (Pre-test)</w:t>
      </w:r>
    </w:p>
    <w:p w14:paraId="1B3E9D61" w14:textId="77777777" w:rsidR="00F00AB7" w:rsidRDefault="00F00AB7" w:rsidP="00F00AB7">
      <w:pPr>
        <w:jc w:val="center"/>
        <w:rPr>
          <w:sz w:val="28"/>
        </w:rPr>
      </w:pPr>
      <w:r w:rsidRPr="00B37343">
        <w:rPr>
          <w:sz w:val="28"/>
        </w:rPr>
        <w:t>Primary Knowledge</w:t>
      </w:r>
      <w:r w:rsidR="00596492">
        <w:rPr>
          <w:sz w:val="28"/>
        </w:rPr>
        <w:t xml:space="preserve"> (Reading material)</w:t>
      </w:r>
    </w:p>
    <w:p w14:paraId="4C284E55" w14:textId="77777777" w:rsidR="00F00AB7" w:rsidRDefault="00B307D8" w:rsidP="004E56CF">
      <w:pPr>
        <w:jc w:val="center"/>
        <w:rPr>
          <w:sz w:val="28"/>
        </w:rPr>
      </w:pPr>
      <w:r>
        <w:rPr>
          <w:sz w:val="28"/>
        </w:rPr>
        <w:t>A Micro-Sized Device Activity</w:t>
      </w:r>
    </w:p>
    <w:p w14:paraId="4151E048" w14:textId="77777777" w:rsidR="00625F35" w:rsidRDefault="000065A3" w:rsidP="00625F35">
      <w:pPr>
        <w:jc w:val="center"/>
        <w:rPr>
          <w:sz w:val="28"/>
        </w:rPr>
      </w:pPr>
      <w:r>
        <w:rPr>
          <w:sz w:val="28"/>
        </w:rPr>
        <w:t xml:space="preserve">Final </w:t>
      </w:r>
      <w:r w:rsidR="00625F35">
        <w:rPr>
          <w:sz w:val="28"/>
        </w:rPr>
        <w:t>Assessment</w:t>
      </w:r>
    </w:p>
    <w:p w14:paraId="7D15F5FB" w14:textId="77777777" w:rsidR="00625F35" w:rsidRDefault="00625F35" w:rsidP="00625F35">
      <w:pPr>
        <w:jc w:val="center"/>
        <w:rPr>
          <w:sz w:val="28"/>
        </w:rPr>
      </w:pPr>
    </w:p>
    <w:p w14:paraId="4E8A977E" w14:textId="77777777" w:rsidR="00F00AB7" w:rsidRPr="00596492" w:rsidRDefault="00F00AB7" w:rsidP="00F00AB7">
      <w:pPr>
        <w:jc w:val="center"/>
        <w:rPr>
          <w:sz w:val="28"/>
        </w:rPr>
      </w:pPr>
      <w:r w:rsidRPr="00596492">
        <w:rPr>
          <w:sz w:val="28"/>
        </w:rPr>
        <w:t xml:space="preserve">The </w:t>
      </w:r>
      <w:r w:rsidRPr="00596492">
        <w:rPr>
          <w:sz w:val="28"/>
          <w:u w:val="single"/>
        </w:rPr>
        <w:t>Learning Module Map</w:t>
      </w:r>
      <w:r w:rsidRPr="00596492">
        <w:rPr>
          <w:sz w:val="28"/>
        </w:rPr>
        <w:t xml:space="preserve"> </w:t>
      </w:r>
      <w:r w:rsidR="00596492">
        <w:rPr>
          <w:sz w:val="28"/>
        </w:rPr>
        <w:t>is provided</w:t>
      </w:r>
      <w:r w:rsidRPr="00596492">
        <w:rPr>
          <w:sz w:val="28"/>
        </w:rPr>
        <w:t xml:space="preserve"> on how to use this learning module.</w:t>
      </w:r>
    </w:p>
    <w:p w14:paraId="35E2999C" w14:textId="77777777" w:rsidR="00F00AB7" w:rsidRDefault="00F00AB7" w:rsidP="00F00AB7">
      <w:pPr>
        <w:jc w:val="center"/>
        <w:rPr>
          <w:sz w:val="32"/>
        </w:rPr>
      </w:pPr>
    </w:p>
    <w:p w14:paraId="512BD189" w14:textId="77777777" w:rsidR="00596492" w:rsidRPr="00596492" w:rsidRDefault="00596492" w:rsidP="00F00AB7">
      <w:pPr>
        <w:jc w:val="center"/>
        <w:rPr>
          <w:i/>
          <w:sz w:val="32"/>
        </w:rPr>
      </w:pPr>
      <w:bookmarkStart w:id="0" w:name="_GoBack"/>
      <w:r w:rsidRPr="00596492">
        <w:rPr>
          <w:i/>
          <w:sz w:val="32"/>
        </w:rPr>
        <w:t xml:space="preserve">This learning module </w:t>
      </w:r>
      <w:r w:rsidR="00F868F1">
        <w:rPr>
          <w:i/>
          <w:sz w:val="32"/>
        </w:rPr>
        <w:t>is</w:t>
      </w:r>
      <w:r w:rsidRPr="00596492">
        <w:rPr>
          <w:i/>
          <w:sz w:val="32"/>
        </w:rPr>
        <w:t xml:space="preserve"> an overview of how microtechnology is used for standard clinical laboratory tests.  It covers the advantages and challenges of taking clinical tests out of the laboratory to the point of care (POC).  An activity </w:t>
      </w:r>
      <w:r w:rsidR="00F868F1">
        <w:rPr>
          <w:i/>
          <w:sz w:val="32"/>
        </w:rPr>
        <w:t>allows you</w:t>
      </w:r>
      <w:r w:rsidRPr="00596492">
        <w:rPr>
          <w:i/>
          <w:sz w:val="32"/>
        </w:rPr>
        <w:t xml:space="preserve"> to dig deeper into a specific test or technique and discover how microtechnology is changing </w:t>
      </w:r>
      <w:r w:rsidR="00F868F1">
        <w:rPr>
          <w:i/>
          <w:sz w:val="32"/>
        </w:rPr>
        <w:t xml:space="preserve">medical </w:t>
      </w:r>
      <w:r w:rsidRPr="00596492">
        <w:rPr>
          <w:i/>
          <w:sz w:val="32"/>
        </w:rPr>
        <w:t xml:space="preserve">diagnostics. </w:t>
      </w:r>
    </w:p>
    <w:bookmarkEnd w:id="0"/>
    <w:p w14:paraId="191242C6" w14:textId="77777777" w:rsidR="00596492" w:rsidRDefault="00596492" w:rsidP="00F00AB7">
      <w:pPr>
        <w:jc w:val="center"/>
        <w:rPr>
          <w:sz w:val="32"/>
        </w:rPr>
      </w:pPr>
    </w:p>
    <w:p w14:paraId="6C985CC6" w14:textId="77777777" w:rsidR="00596492" w:rsidRDefault="00596492" w:rsidP="00596492">
      <w:pPr>
        <w:rPr>
          <w:sz w:val="32"/>
        </w:rPr>
      </w:pPr>
    </w:p>
    <w:p w14:paraId="2C2C16A3" w14:textId="77777777" w:rsidR="004E56CF" w:rsidRPr="00596492" w:rsidRDefault="00F00AB7" w:rsidP="004E56CF">
      <w:pPr>
        <w:jc w:val="center"/>
        <w:rPr>
          <w:sz w:val="28"/>
        </w:rPr>
      </w:pPr>
      <w:r w:rsidRPr="00596492">
        <w:rPr>
          <w:sz w:val="28"/>
        </w:rPr>
        <w:t>T</w:t>
      </w:r>
      <w:r w:rsidR="004E56CF" w:rsidRPr="00596492">
        <w:rPr>
          <w:sz w:val="28"/>
        </w:rPr>
        <w:t>arget audiences: High School, Community College</w:t>
      </w:r>
      <w:r w:rsidR="000065A3" w:rsidRPr="00596492">
        <w:rPr>
          <w:sz w:val="28"/>
        </w:rPr>
        <w:t xml:space="preserve">, </w:t>
      </w:r>
      <w:proofErr w:type="gramStart"/>
      <w:r w:rsidR="000065A3" w:rsidRPr="00596492">
        <w:rPr>
          <w:sz w:val="28"/>
        </w:rPr>
        <w:t>University</w:t>
      </w:r>
      <w:proofErr w:type="gramEnd"/>
    </w:p>
    <w:p w14:paraId="326D24B0" w14:textId="77777777" w:rsidR="004E56CF" w:rsidRDefault="004E56CF" w:rsidP="00596492">
      <w:pPr>
        <w:rPr>
          <w:b/>
          <w:sz w:val="32"/>
        </w:rPr>
      </w:pPr>
    </w:p>
    <w:p w14:paraId="202533A1" w14:textId="77777777" w:rsidR="00596492" w:rsidRDefault="00596492" w:rsidP="00596492">
      <w:pPr>
        <w:jc w:val="center"/>
      </w:pPr>
      <w:r>
        <w:t>Made possible through grants from the National Science Foundation Department of Undergraduate Education #0830384, 0902411, and 1205138.</w:t>
      </w:r>
    </w:p>
    <w:p w14:paraId="4E3A6A19" w14:textId="77777777" w:rsidR="00596492" w:rsidRDefault="00596492" w:rsidP="00596492">
      <w:pPr>
        <w:jc w:val="center"/>
      </w:pPr>
    </w:p>
    <w:p w14:paraId="32052D48" w14:textId="77777777" w:rsidR="00596492" w:rsidRDefault="00596492" w:rsidP="00596492">
      <w:pPr>
        <w:jc w:val="center"/>
      </w:pPr>
      <w:r>
        <w:t>Any opinions, findings and conclusions or recommendations expressed in this material are those of the authors and creators, and do not necessarily reflect the views of the National Science Foundation.</w:t>
      </w:r>
    </w:p>
    <w:p w14:paraId="0BA6E1BA" w14:textId="77777777" w:rsidR="00596492" w:rsidRDefault="00596492" w:rsidP="00596492">
      <w:pPr>
        <w:rPr>
          <w:b/>
          <w:sz w:val="32"/>
        </w:rPr>
      </w:pPr>
    </w:p>
    <w:p w14:paraId="1C2E4363" w14:textId="77777777" w:rsidR="00596492" w:rsidRDefault="00596492" w:rsidP="00596492">
      <w:pPr>
        <w:jc w:val="center"/>
      </w:pPr>
      <w:r>
        <w:t>Southwest Center for Microsystems Education (SCME) NSF ATE Center</w:t>
      </w:r>
    </w:p>
    <w:p w14:paraId="35DBE3E3" w14:textId="77777777" w:rsidR="00596492" w:rsidRDefault="00596492" w:rsidP="00596492">
      <w:pPr>
        <w:jc w:val="center"/>
      </w:pPr>
      <w:r>
        <w:t>© 2010 Regents of the University of New Mexico</w:t>
      </w:r>
    </w:p>
    <w:p w14:paraId="4FC25AC6" w14:textId="77777777" w:rsidR="00596492" w:rsidRDefault="00596492" w:rsidP="00596492">
      <w:pPr>
        <w:jc w:val="center"/>
      </w:pPr>
    </w:p>
    <w:p w14:paraId="6E213991" w14:textId="77777777" w:rsidR="00596492" w:rsidRDefault="00596492" w:rsidP="00596492">
      <w:pPr>
        <w:jc w:val="center"/>
      </w:pPr>
      <w:r>
        <w:t>Content is protected by the CC Attribution Non-Commercial Share Alike license.</w:t>
      </w:r>
    </w:p>
    <w:p w14:paraId="0BAA4F23" w14:textId="77777777" w:rsidR="00596492" w:rsidRPr="006A6E75" w:rsidRDefault="00596492" w:rsidP="00596492">
      <w:pPr>
        <w:jc w:val="center"/>
        <w:rPr>
          <w:rFonts w:ascii="Calibri" w:hAnsi="Calibri"/>
          <w:color w:val="0000FF"/>
          <w:u w:val="single"/>
        </w:rPr>
      </w:pPr>
      <w:r>
        <w:t xml:space="preserve">Website:  </w:t>
      </w:r>
      <w:hyperlink r:id="rId8" w:history="1">
        <w:r>
          <w:rPr>
            <w:rStyle w:val="Hyperlink"/>
            <w:rFonts w:ascii="Calibri" w:hAnsi="Calibri"/>
          </w:rPr>
          <w:t>www.scme-nm.org</w:t>
        </w:r>
      </w:hyperlink>
    </w:p>
    <w:p w14:paraId="1FAAB514" w14:textId="77777777" w:rsidR="00596492" w:rsidRDefault="00596492" w:rsidP="00B93D43">
      <w:pPr>
        <w:jc w:val="center"/>
        <w:rPr>
          <w:b/>
          <w:sz w:val="32"/>
        </w:rPr>
      </w:pPr>
    </w:p>
    <w:p w14:paraId="72F17F0E" w14:textId="77777777" w:rsidR="00596492" w:rsidRDefault="00596492" w:rsidP="00B93D43">
      <w:pPr>
        <w:jc w:val="center"/>
        <w:rPr>
          <w:b/>
          <w:sz w:val="32"/>
        </w:rPr>
      </w:pPr>
    </w:p>
    <w:p w14:paraId="35A41E2B" w14:textId="77777777" w:rsidR="00596492" w:rsidRDefault="00596492" w:rsidP="00B93D43">
      <w:pPr>
        <w:jc w:val="center"/>
        <w:rPr>
          <w:b/>
          <w:sz w:val="32"/>
        </w:rPr>
      </w:pPr>
    </w:p>
    <w:p w14:paraId="7426289E" w14:textId="77777777" w:rsidR="00D70354" w:rsidRPr="00B93D43" w:rsidRDefault="00994CF3" w:rsidP="00B93D43">
      <w:pPr>
        <w:jc w:val="center"/>
        <w:rPr>
          <w:b/>
          <w:sz w:val="32"/>
        </w:rPr>
      </w:pPr>
      <w:r w:rsidRPr="00B93D43">
        <w:rPr>
          <w:b/>
          <w:sz w:val="32"/>
        </w:rPr>
        <w:t xml:space="preserve">Learning Module </w:t>
      </w:r>
      <w:r w:rsidR="0008239A" w:rsidRPr="00B93D43">
        <w:rPr>
          <w:b/>
          <w:sz w:val="32"/>
        </w:rPr>
        <w:t xml:space="preserve">Map for </w:t>
      </w:r>
      <w:r w:rsidR="00B307D8">
        <w:rPr>
          <w:b/>
          <w:sz w:val="32"/>
        </w:rPr>
        <w:t>Clinical Laboratory Techniques and Microtechnology</w:t>
      </w:r>
    </w:p>
    <w:p w14:paraId="76F11CCC" w14:textId="77777777" w:rsidR="00D8382D" w:rsidRPr="004B4CE7" w:rsidRDefault="00D8382D" w:rsidP="00D8382D"/>
    <w:p w14:paraId="1AEAB16D" w14:textId="77777777" w:rsidR="0008239A" w:rsidRPr="003F6700" w:rsidRDefault="0008239A" w:rsidP="00D8382D">
      <w:pPr>
        <w:spacing w:line="360" w:lineRule="auto"/>
        <w:rPr>
          <w:u w:val="single"/>
        </w:rPr>
      </w:pPr>
      <w:r w:rsidRPr="004B4CE7">
        <w:t xml:space="preserve">Learning Module:  </w:t>
      </w:r>
      <w:r w:rsidR="00B307D8">
        <w:rPr>
          <w:u w:val="single"/>
        </w:rPr>
        <w:t>Clinical Laboratory Techniques and Microtechnology</w:t>
      </w:r>
    </w:p>
    <w:p w14:paraId="38A56B0E" w14:textId="49E14CC3" w:rsidR="00994CF3" w:rsidRDefault="00B423B5" w:rsidP="00D8382D">
      <w:pPr>
        <w:spacing w:line="360" w:lineRule="auto"/>
      </w:pPr>
      <w:r>
        <w:t>Learning Module</w:t>
      </w:r>
      <w:r w:rsidR="00B307D8">
        <w:t xml:space="preserve"> </w:t>
      </w:r>
      <w:r w:rsidR="00AC5EF2">
        <w:t>Units (4)</w:t>
      </w:r>
      <w:r w:rsidR="00D8382D" w:rsidRPr="004B4CE7">
        <w:t xml:space="preserve"> </w:t>
      </w:r>
    </w:p>
    <w:p w14:paraId="3D08C45D" w14:textId="099564CA" w:rsidR="00B423B5" w:rsidRDefault="00AC5EF2" w:rsidP="001D2540">
      <w:pPr>
        <w:numPr>
          <w:ilvl w:val="0"/>
          <w:numId w:val="8"/>
        </w:numPr>
      </w:pPr>
      <w:r>
        <w:t>Knowledge Probe (pre-test</w:t>
      </w:r>
      <w:r w:rsidR="00B423B5">
        <w:t>)</w:t>
      </w:r>
    </w:p>
    <w:p w14:paraId="1461FA2E" w14:textId="77777777" w:rsidR="00643338" w:rsidRDefault="00B307D8" w:rsidP="001D2540">
      <w:pPr>
        <w:numPr>
          <w:ilvl w:val="0"/>
          <w:numId w:val="8"/>
        </w:numPr>
      </w:pPr>
      <w:r>
        <w:t>Clinical Laboratory Techniques and Microtechnology PK</w:t>
      </w:r>
    </w:p>
    <w:p w14:paraId="0DC77AC0" w14:textId="77777777" w:rsidR="00643338" w:rsidRDefault="00B307D8" w:rsidP="001D2540">
      <w:pPr>
        <w:numPr>
          <w:ilvl w:val="0"/>
          <w:numId w:val="8"/>
        </w:numPr>
      </w:pPr>
      <w:r>
        <w:t>A Micro-Sized Device</w:t>
      </w:r>
      <w:r w:rsidR="00643338">
        <w:t xml:space="preserve"> Activity</w:t>
      </w:r>
    </w:p>
    <w:p w14:paraId="04790B5A" w14:textId="1B7B200B" w:rsidR="00D8382D" w:rsidRDefault="00643338" w:rsidP="00D8382D">
      <w:pPr>
        <w:numPr>
          <w:ilvl w:val="0"/>
          <w:numId w:val="8"/>
        </w:numPr>
      </w:pPr>
      <w:r>
        <w:t>Assessment</w:t>
      </w:r>
    </w:p>
    <w:p w14:paraId="5D8917BE" w14:textId="77777777" w:rsidR="00AC5EF2" w:rsidRDefault="00AC5EF2" w:rsidP="00AC5EF2"/>
    <w:p w14:paraId="32B53C6F" w14:textId="6BF4DDB4" w:rsidR="003F6700" w:rsidRDefault="003F6700" w:rsidP="00D8382D">
      <w:r w:rsidRPr="004E56CF">
        <w:rPr>
          <w:b/>
        </w:rPr>
        <w:t>Following is a suggested map on the implementation of this learning module</w:t>
      </w:r>
      <w:r>
        <w:t>.</w:t>
      </w:r>
      <w:r w:rsidR="00B66EF3">
        <w:t xml:space="preserve">  This map is strictly a suggestion.  You may use any </w:t>
      </w:r>
      <w:r w:rsidR="00AC5EF2">
        <w:t>unit</w:t>
      </w:r>
      <w:r w:rsidR="00B66EF3">
        <w:t xml:space="preserve"> in this learning module as a stand-alone unit or activity OR in any sequence that best fits your classroom.</w:t>
      </w:r>
    </w:p>
    <w:p w14:paraId="6DDC45C3" w14:textId="77777777" w:rsidR="003F6700" w:rsidRPr="004B4CE7" w:rsidRDefault="003F6700" w:rsidP="00D8382D"/>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95"/>
        <w:gridCol w:w="3420"/>
        <w:gridCol w:w="3240"/>
      </w:tblGrid>
      <w:tr w:rsidR="00D8382D" w:rsidRPr="004B4CE7" w14:paraId="04E606F7" w14:textId="77777777" w:rsidTr="005D033C">
        <w:tc>
          <w:tcPr>
            <w:tcW w:w="2995" w:type="dxa"/>
          </w:tcPr>
          <w:p w14:paraId="366D4912" w14:textId="77777777" w:rsidR="00D8382D" w:rsidRPr="004B4CE7" w:rsidRDefault="00D8382D" w:rsidP="00143292">
            <w:pPr>
              <w:jc w:val="center"/>
              <w:rPr>
                <w:b/>
                <w:bCs/>
              </w:rPr>
            </w:pPr>
            <w:r w:rsidRPr="004B4CE7">
              <w:rPr>
                <w:b/>
                <w:bCs/>
              </w:rPr>
              <w:t>IMPORTANT STEPS</w:t>
            </w:r>
          </w:p>
        </w:tc>
        <w:tc>
          <w:tcPr>
            <w:tcW w:w="3420" w:type="dxa"/>
          </w:tcPr>
          <w:p w14:paraId="1998FB80" w14:textId="77777777" w:rsidR="00D8382D" w:rsidRPr="004B4CE7" w:rsidRDefault="00D8382D" w:rsidP="00143292">
            <w:pPr>
              <w:jc w:val="center"/>
              <w:rPr>
                <w:b/>
                <w:bCs/>
              </w:rPr>
            </w:pPr>
            <w:r w:rsidRPr="004B4CE7">
              <w:rPr>
                <w:b/>
                <w:bCs/>
              </w:rPr>
              <w:t>KEY POINTS</w:t>
            </w:r>
          </w:p>
        </w:tc>
        <w:tc>
          <w:tcPr>
            <w:tcW w:w="3240" w:type="dxa"/>
          </w:tcPr>
          <w:p w14:paraId="1CF52DAD" w14:textId="77777777" w:rsidR="00D8382D" w:rsidRPr="004B4CE7" w:rsidRDefault="00D8382D" w:rsidP="00143292">
            <w:pPr>
              <w:jc w:val="center"/>
              <w:rPr>
                <w:b/>
                <w:bCs/>
              </w:rPr>
            </w:pPr>
            <w:r w:rsidRPr="004B4CE7">
              <w:rPr>
                <w:b/>
                <w:bCs/>
              </w:rPr>
              <w:t>REASONS</w:t>
            </w:r>
          </w:p>
        </w:tc>
      </w:tr>
      <w:tr w:rsidR="00B423B5" w:rsidRPr="004B4CE7" w14:paraId="4B7A5748" w14:textId="77777777" w:rsidTr="005D033C">
        <w:trPr>
          <w:cantSplit/>
          <w:trHeight w:val="2303"/>
        </w:trPr>
        <w:tc>
          <w:tcPr>
            <w:tcW w:w="2995" w:type="dxa"/>
            <w:vAlign w:val="center"/>
          </w:tcPr>
          <w:p w14:paraId="07A5DF4A" w14:textId="77777777" w:rsidR="00B423B5" w:rsidRDefault="00B423B5" w:rsidP="00ED1F8B">
            <w:pPr>
              <w:pStyle w:val="Header"/>
            </w:pPr>
            <w:r>
              <w:t>Knowledge Probe (KP)</w:t>
            </w:r>
          </w:p>
        </w:tc>
        <w:tc>
          <w:tcPr>
            <w:tcW w:w="3420" w:type="dxa"/>
            <w:vAlign w:val="center"/>
          </w:tcPr>
          <w:p w14:paraId="0173DE26" w14:textId="77777777" w:rsidR="00B423B5" w:rsidRDefault="00B423B5" w:rsidP="000A691F">
            <w:pPr>
              <w:pStyle w:val="BulletList"/>
              <w:numPr>
                <w:ilvl w:val="0"/>
                <w:numId w:val="0"/>
              </w:numPr>
              <w:ind w:right="450"/>
            </w:pPr>
            <w:r>
              <w:t>This is a pre-assessment that the participants should take prior to starting this learning module.</w:t>
            </w:r>
          </w:p>
        </w:tc>
        <w:tc>
          <w:tcPr>
            <w:tcW w:w="3240" w:type="dxa"/>
            <w:vAlign w:val="center"/>
          </w:tcPr>
          <w:p w14:paraId="799E5D9D" w14:textId="4F14AD8E" w:rsidR="002842AD" w:rsidRPr="002842AD" w:rsidRDefault="00AC5EF2" w:rsidP="00AC5EF2">
            <w:pPr>
              <w:pStyle w:val="BulletList"/>
              <w:numPr>
                <w:ilvl w:val="0"/>
                <w:numId w:val="0"/>
              </w:numPr>
              <w:ind w:right="450"/>
            </w:pPr>
            <w:r>
              <w:t xml:space="preserve">This KP </w:t>
            </w:r>
            <w:r w:rsidR="00B423B5">
              <w:t>determine</w:t>
            </w:r>
            <w:r>
              <w:t>s</w:t>
            </w:r>
            <w:r w:rsidR="00B423B5">
              <w:t xml:space="preserve"> the participants’ current knowledge of </w:t>
            </w:r>
            <w:r w:rsidR="00FE454F">
              <w:t>clinical laboratory techniques and how microtechnology has affected these techniques</w:t>
            </w:r>
            <w:r w:rsidR="00B423B5">
              <w:t xml:space="preserve">. </w:t>
            </w:r>
          </w:p>
        </w:tc>
      </w:tr>
      <w:tr w:rsidR="001A538D" w:rsidRPr="004B4CE7" w14:paraId="3D15F0C1" w14:textId="77777777" w:rsidTr="005D033C">
        <w:trPr>
          <w:cantSplit/>
          <w:trHeight w:val="2303"/>
        </w:trPr>
        <w:tc>
          <w:tcPr>
            <w:tcW w:w="2995" w:type="dxa"/>
            <w:vAlign w:val="center"/>
          </w:tcPr>
          <w:p w14:paraId="2F7339C0" w14:textId="77777777" w:rsidR="001A538D" w:rsidRDefault="001A538D" w:rsidP="00ED1F8B">
            <w:pPr>
              <w:pStyle w:val="Header"/>
            </w:pPr>
            <w:r>
              <w:t>Inquiry activity</w:t>
            </w:r>
            <w:r w:rsidR="00B423B5">
              <w:t xml:space="preserve"> </w:t>
            </w:r>
          </w:p>
        </w:tc>
        <w:tc>
          <w:tcPr>
            <w:tcW w:w="3420" w:type="dxa"/>
            <w:vAlign w:val="center"/>
          </w:tcPr>
          <w:p w14:paraId="727B575C" w14:textId="77777777" w:rsidR="001A538D" w:rsidRDefault="001A538D" w:rsidP="000A691F">
            <w:pPr>
              <w:pStyle w:val="BulletList"/>
              <w:numPr>
                <w:ilvl w:val="0"/>
                <w:numId w:val="0"/>
              </w:numPr>
              <w:ind w:right="450"/>
            </w:pPr>
            <w:r>
              <w:t>Ask the participants the following:</w:t>
            </w:r>
          </w:p>
          <w:p w14:paraId="00D351BF" w14:textId="77777777" w:rsidR="00FE454F" w:rsidRDefault="00FE454F" w:rsidP="001A538D">
            <w:pPr>
              <w:rPr>
                <w:i/>
              </w:rPr>
            </w:pPr>
            <w:r>
              <w:rPr>
                <w:i/>
              </w:rPr>
              <w:t>What type of medical tests have you had done or that you are familiar with?</w:t>
            </w:r>
          </w:p>
          <w:p w14:paraId="45F3C076" w14:textId="77777777" w:rsidR="00FE454F" w:rsidRDefault="00FE454F" w:rsidP="001A538D">
            <w:pPr>
              <w:rPr>
                <w:i/>
              </w:rPr>
            </w:pPr>
          </w:p>
          <w:p w14:paraId="332B51ED" w14:textId="77777777" w:rsidR="00FE454F" w:rsidRPr="001A538D" w:rsidRDefault="00FE454F" w:rsidP="001A538D">
            <w:pPr>
              <w:rPr>
                <w:i/>
              </w:rPr>
            </w:pPr>
            <w:r>
              <w:rPr>
                <w:i/>
              </w:rPr>
              <w:t>Which of these tests require clinical laboratory testing</w:t>
            </w:r>
            <w:r w:rsidR="002842AD">
              <w:rPr>
                <w:i/>
              </w:rPr>
              <w:t>?</w:t>
            </w:r>
          </w:p>
        </w:tc>
        <w:tc>
          <w:tcPr>
            <w:tcW w:w="3240" w:type="dxa"/>
            <w:vAlign w:val="center"/>
          </w:tcPr>
          <w:p w14:paraId="1FF2B4FC" w14:textId="7760821E" w:rsidR="001A538D" w:rsidRDefault="001A538D" w:rsidP="00AC5EF2">
            <w:pPr>
              <w:pStyle w:val="BulletList"/>
              <w:numPr>
                <w:ilvl w:val="0"/>
                <w:numId w:val="0"/>
              </w:numPr>
              <w:ind w:right="450"/>
            </w:pPr>
            <w:r>
              <w:t xml:space="preserve">This </w:t>
            </w:r>
            <w:r w:rsidR="00AC5EF2">
              <w:t>inquiry gets</w:t>
            </w:r>
            <w:r>
              <w:t xml:space="preserve"> the participants thinking about </w:t>
            </w:r>
            <w:r w:rsidR="002842AD">
              <w:t>what laboratory testing is and how it affects everyone.</w:t>
            </w:r>
          </w:p>
        </w:tc>
      </w:tr>
      <w:tr w:rsidR="00D8382D" w:rsidRPr="004B4CE7" w14:paraId="1C13E29A" w14:textId="77777777" w:rsidTr="005D033C">
        <w:trPr>
          <w:cantSplit/>
          <w:trHeight w:val="2303"/>
        </w:trPr>
        <w:tc>
          <w:tcPr>
            <w:tcW w:w="2995" w:type="dxa"/>
            <w:vAlign w:val="center"/>
          </w:tcPr>
          <w:p w14:paraId="0DC1E15A" w14:textId="77777777" w:rsidR="00E95067" w:rsidRDefault="00E95067" w:rsidP="00ED1F8B">
            <w:pPr>
              <w:pStyle w:val="Header"/>
            </w:pPr>
            <w:r>
              <w:t>Assign the primary knowledge (PK) unit as a reading assignment.</w:t>
            </w:r>
          </w:p>
          <w:p w14:paraId="61EEE6E0" w14:textId="77777777" w:rsidR="00E95067" w:rsidRDefault="00E95067" w:rsidP="00ED1F8B">
            <w:pPr>
              <w:pStyle w:val="Header"/>
            </w:pPr>
          </w:p>
          <w:p w14:paraId="251C0D86" w14:textId="77777777" w:rsidR="00E95067" w:rsidRPr="00DC6B79" w:rsidRDefault="00E95067" w:rsidP="002842AD">
            <w:pPr>
              <w:pStyle w:val="Header"/>
            </w:pPr>
            <w:r>
              <w:t xml:space="preserve">Review the </w:t>
            </w:r>
            <w:r w:rsidR="002842AD">
              <w:rPr>
                <w:u w:val="single"/>
              </w:rPr>
              <w:t>Clinical Laboratory Techniques and Microtechnology</w:t>
            </w:r>
            <w:r w:rsidR="007A3184" w:rsidRPr="001D2540">
              <w:rPr>
                <w:u w:val="single"/>
              </w:rPr>
              <w:t xml:space="preserve"> PK</w:t>
            </w:r>
            <w:r w:rsidR="00DC6B79">
              <w:t xml:space="preserve"> </w:t>
            </w:r>
            <w:r w:rsidR="002842AD">
              <w:t>with the participants.</w:t>
            </w:r>
            <w:r>
              <w:t xml:space="preserve">  </w:t>
            </w:r>
          </w:p>
        </w:tc>
        <w:tc>
          <w:tcPr>
            <w:tcW w:w="3420" w:type="dxa"/>
            <w:vAlign w:val="center"/>
          </w:tcPr>
          <w:p w14:paraId="403F819B" w14:textId="77777777" w:rsidR="00D8382D" w:rsidRPr="004B4CE7" w:rsidRDefault="003F6700" w:rsidP="007A3184">
            <w:pPr>
              <w:pStyle w:val="BulletList"/>
              <w:numPr>
                <w:ilvl w:val="0"/>
                <w:numId w:val="0"/>
              </w:numPr>
              <w:ind w:right="450"/>
            </w:pPr>
            <w:r>
              <w:t>A PowerPoint presentation can be downloaded</w:t>
            </w:r>
            <w:r w:rsidR="00614DF9">
              <w:t xml:space="preserve"> by the instructor</w:t>
            </w:r>
            <w:r>
              <w:t xml:space="preserve"> from scme-nm.org</w:t>
            </w:r>
            <w:r w:rsidR="002654DD">
              <w:t xml:space="preserve"> and presented to all participants</w:t>
            </w:r>
            <w:r w:rsidR="00F00AB7">
              <w:t>.</w:t>
            </w:r>
          </w:p>
        </w:tc>
        <w:tc>
          <w:tcPr>
            <w:tcW w:w="3240" w:type="dxa"/>
            <w:vAlign w:val="center"/>
          </w:tcPr>
          <w:p w14:paraId="5F5BEC6D" w14:textId="3C6B33BD" w:rsidR="00D8382D" w:rsidRDefault="00E95067" w:rsidP="00DC6B79">
            <w:pPr>
              <w:pStyle w:val="BulletList"/>
              <w:numPr>
                <w:ilvl w:val="0"/>
                <w:numId w:val="0"/>
              </w:numPr>
              <w:ind w:right="450"/>
            </w:pPr>
            <w:r>
              <w:t>This introduction help</w:t>
            </w:r>
            <w:r w:rsidR="00AC5EF2">
              <w:t xml:space="preserve">s </w:t>
            </w:r>
            <w:r w:rsidR="008067B1">
              <w:t>participant</w:t>
            </w:r>
            <w:r w:rsidR="00D817C6">
              <w:t>s</w:t>
            </w:r>
            <w:r w:rsidR="008067B1">
              <w:t xml:space="preserve"> better understand </w:t>
            </w:r>
            <w:r w:rsidR="00F00AB7">
              <w:t xml:space="preserve">the </w:t>
            </w:r>
            <w:r w:rsidR="002842AD">
              <w:t>various techniques of clinical lab testing and how microtechnology has improved these tech</w:t>
            </w:r>
            <w:r w:rsidR="006A3F21">
              <w:t xml:space="preserve">niques and in some cases, taken </w:t>
            </w:r>
            <w:r w:rsidR="002842AD">
              <w:t>them out of the lab.</w:t>
            </w:r>
          </w:p>
          <w:p w14:paraId="6489F89F" w14:textId="77777777" w:rsidR="00DC6B79" w:rsidRPr="00DC6B79" w:rsidRDefault="00DC6B79" w:rsidP="002842AD"/>
        </w:tc>
      </w:tr>
      <w:tr w:rsidR="00270D32" w:rsidRPr="004B4CE7" w14:paraId="6BAEF022" w14:textId="77777777" w:rsidTr="005D033C">
        <w:trPr>
          <w:cantSplit/>
          <w:trHeight w:val="800"/>
        </w:trPr>
        <w:tc>
          <w:tcPr>
            <w:tcW w:w="2995" w:type="dxa"/>
            <w:vAlign w:val="center"/>
          </w:tcPr>
          <w:p w14:paraId="41E8E491" w14:textId="77777777" w:rsidR="00270D32" w:rsidRDefault="00270D32" w:rsidP="002842AD">
            <w:pPr>
              <w:pStyle w:val="Header"/>
            </w:pPr>
            <w:r>
              <w:lastRenderedPageBreak/>
              <w:t>Complete the activity “</w:t>
            </w:r>
            <w:r w:rsidR="002842AD">
              <w:t>A Micro-Sized Device</w:t>
            </w:r>
            <w:r>
              <w:t>”</w:t>
            </w:r>
          </w:p>
        </w:tc>
        <w:tc>
          <w:tcPr>
            <w:tcW w:w="3420" w:type="dxa"/>
            <w:vAlign w:val="center"/>
          </w:tcPr>
          <w:p w14:paraId="1E95787A" w14:textId="77777777" w:rsidR="006A3F21" w:rsidRDefault="006A3F21" w:rsidP="008A7A24">
            <w:pPr>
              <w:pStyle w:val="Header"/>
            </w:pPr>
          </w:p>
          <w:p w14:paraId="673BA614" w14:textId="3954A5E9" w:rsidR="00270D32" w:rsidRDefault="002842AD" w:rsidP="008A7A24">
            <w:pPr>
              <w:pStyle w:val="Header"/>
            </w:pPr>
            <w:r>
              <w:t>P</w:t>
            </w:r>
            <w:r w:rsidR="00AB3489">
              <w:t xml:space="preserve">articipants </w:t>
            </w:r>
            <w:r>
              <w:t>research and study a specific test or technique that has been performed on the macro-scale and is now (or in the near future) being performed at the micro-scale.</w:t>
            </w:r>
          </w:p>
          <w:p w14:paraId="765F2B39" w14:textId="77777777" w:rsidR="009732FF" w:rsidRDefault="009732FF" w:rsidP="008A7A24">
            <w:pPr>
              <w:pStyle w:val="Header"/>
            </w:pPr>
          </w:p>
        </w:tc>
        <w:tc>
          <w:tcPr>
            <w:tcW w:w="3240" w:type="dxa"/>
            <w:vAlign w:val="center"/>
          </w:tcPr>
          <w:p w14:paraId="3C0A215E" w14:textId="77777777" w:rsidR="00270D32" w:rsidRDefault="009732FF" w:rsidP="00DC6B79">
            <w:pPr>
              <w:pStyle w:val="Header"/>
            </w:pPr>
            <w:r>
              <w:t>This activity allows the students to further research an area of clinical lab testing that is of interest to them.</w:t>
            </w:r>
          </w:p>
        </w:tc>
      </w:tr>
      <w:tr w:rsidR="006537B7" w:rsidRPr="004B4CE7" w14:paraId="3614214C" w14:textId="77777777" w:rsidTr="005D033C">
        <w:trPr>
          <w:cantSplit/>
          <w:trHeight w:val="1152"/>
        </w:trPr>
        <w:tc>
          <w:tcPr>
            <w:tcW w:w="2995" w:type="dxa"/>
            <w:vAlign w:val="center"/>
          </w:tcPr>
          <w:p w14:paraId="313F3227" w14:textId="77777777" w:rsidR="006537B7" w:rsidRPr="004B4CE7" w:rsidRDefault="005D033C" w:rsidP="00760733">
            <w:pPr>
              <w:pStyle w:val="Header"/>
            </w:pPr>
            <w:r>
              <w:t>Assessment</w:t>
            </w:r>
          </w:p>
        </w:tc>
        <w:tc>
          <w:tcPr>
            <w:tcW w:w="3420" w:type="dxa"/>
            <w:vAlign w:val="center"/>
          </w:tcPr>
          <w:p w14:paraId="6073C7ED" w14:textId="1A720959" w:rsidR="006537B7" w:rsidRPr="004B4CE7" w:rsidRDefault="009732FF" w:rsidP="00AB3489">
            <w:pPr>
              <w:pStyle w:val="Header"/>
            </w:pPr>
            <w:r>
              <w:t xml:space="preserve">Have the participants complete </w:t>
            </w:r>
            <w:r w:rsidR="00AB3489">
              <w:t>the assessment</w:t>
            </w:r>
            <w:r>
              <w:t>.</w:t>
            </w:r>
          </w:p>
        </w:tc>
        <w:tc>
          <w:tcPr>
            <w:tcW w:w="3240" w:type="dxa"/>
            <w:vAlign w:val="center"/>
          </w:tcPr>
          <w:p w14:paraId="54C9AD0F" w14:textId="77777777" w:rsidR="009732FF" w:rsidRDefault="001D2540" w:rsidP="009732FF">
            <w:pPr>
              <w:pStyle w:val="Header"/>
            </w:pPr>
            <w:r>
              <w:t xml:space="preserve">Participants are evaluated on what they </w:t>
            </w:r>
            <w:r w:rsidR="005D033C">
              <w:t xml:space="preserve">have learned about </w:t>
            </w:r>
            <w:r w:rsidR="009732FF">
              <w:t>clinical laboratory testing and how microtechnology has become an important part of this field.</w:t>
            </w:r>
          </w:p>
          <w:p w14:paraId="5800E9BF" w14:textId="77777777" w:rsidR="006537B7" w:rsidRPr="004B4CE7" w:rsidRDefault="001D2540" w:rsidP="009732FF">
            <w:pPr>
              <w:pStyle w:val="Header"/>
            </w:pPr>
            <w:r>
              <w:t xml:space="preserve">  </w:t>
            </w:r>
          </w:p>
        </w:tc>
      </w:tr>
    </w:tbl>
    <w:p w14:paraId="707B8977" w14:textId="77777777" w:rsidR="00522899" w:rsidRDefault="00522899" w:rsidP="001D2540"/>
    <w:p w14:paraId="4E559FE7" w14:textId="77777777" w:rsidR="002654DD" w:rsidRPr="004B4CE7" w:rsidRDefault="002654DD" w:rsidP="002654DD">
      <w:pPr>
        <w:rPr>
          <w:i/>
          <w:sz w:val="20"/>
        </w:rPr>
      </w:pPr>
      <w:r w:rsidRPr="004B4CE7">
        <w:rPr>
          <w:i/>
          <w:sz w:val="20"/>
        </w:rPr>
        <w:t xml:space="preserve">Adapted from </w:t>
      </w:r>
      <w:proofErr w:type="spellStart"/>
      <w:r w:rsidRPr="004B4CE7">
        <w:rPr>
          <w:i/>
          <w:sz w:val="20"/>
        </w:rPr>
        <w:t>Graupp</w:t>
      </w:r>
      <w:proofErr w:type="spellEnd"/>
      <w:r w:rsidRPr="004B4CE7">
        <w:rPr>
          <w:i/>
          <w:sz w:val="20"/>
        </w:rPr>
        <w:t xml:space="preserve">, P. &amp; </w:t>
      </w:r>
      <w:proofErr w:type="spellStart"/>
      <w:r w:rsidRPr="004B4CE7">
        <w:rPr>
          <w:i/>
          <w:sz w:val="20"/>
        </w:rPr>
        <w:t>Wrona</w:t>
      </w:r>
      <w:proofErr w:type="spellEnd"/>
      <w:r w:rsidRPr="004B4CE7">
        <w:rPr>
          <w:i/>
          <w:sz w:val="20"/>
        </w:rPr>
        <w:t xml:space="preserve">, </w:t>
      </w:r>
      <w:proofErr w:type="gramStart"/>
      <w:r w:rsidRPr="004B4CE7">
        <w:rPr>
          <w:i/>
          <w:sz w:val="20"/>
        </w:rPr>
        <w:t>R.</w:t>
      </w:r>
      <w:proofErr w:type="gramEnd"/>
      <w:r w:rsidRPr="004B4CE7">
        <w:rPr>
          <w:i/>
          <w:sz w:val="20"/>
        </w:rPr>
        <w:t xml:space="preserve"> (2006) The TWI Workbook: Essential Skills for Supervisors.  New York, NY. Productivity Press.</w:t>
      </w:r>
    </w:p>
    <w:p w14:paraId="45E43C8E" w14:textId="77777777" w:rsidR="002654DD" w:rsidRPr="004B4CE7" w:rsidRDefault="002654DD" w:rsidP="002654DD"/>
    <w:p w14:paraId="2CBFD692" w14:textId="77777777" w:rsidR="002654DD" w:rsidRDefault="002654DD" w:rsidP="001D2540"/>
    <w:p w14:paraId="7BC0C1BD" w14:textId="77777777" w:rsidR="00AB3489" w:rsidRDefault="00AB3489" w:rsidP="001D2540"/>
    <w:p w14:paraId="2CD56034" w14:textId="77777777" w:rsidR="00AB3489" w:rsidRDefault="00AB3489" w:rsidP="001D2540"/>
    <w:p w14:paraId="10D87E24" w14:textId="77777777" w:rsidR="00AB3489" w:rsidRDefault="00AB3489" w:rsidP="001D2540"/>
    <w:p w14:paraId="5C6BD6FC" w14:textId="77777777" w:rsidR="00AB3489" w:rsidRDefault="00AB3489" w:rsidP="001D2540"/>
    <w:p w14:paraId="30236C52" w14:textId="77777777" w:rsidR="00AB3489" w:rsidRDefault="00AB3489" w:rsidP="001D2540"/>
    <w:p w14:paraId="59FF5968" w14:textId="77777777" w:rsidR="00AB3489" w:rsidRDefault="00AB3489" w:rsidP="001D2540"/>
    <w:p w14:paraId="3415DFE5" w14:textId="77777777" w:rsidR="00AB3489" w:rsidRDefault="00AB3489" w:rsidP="001D2540"/>
    <w:p w14:paraId="463B2A5C" w14:textId="77777777" w:rsidR="00AB3489" w:rsidRDefault="00AB3489" w:rsidP="001D2540"/>
    <w:p w14:paraId="66D4E0EA" w14:textId="77777777" w:rsidR="00AB3489" w:rsidRDefault="00AB3489" w:rsidP="001D2540"/>
    <w:p w14:paraId="0FC55484" w14:textId="77777777" w:rsidR="00AB3489" w:rsidRDefault="00AB3489" w:rsidP="001D2540"/>
    <w:p w14:paraId="204807D3" w14:textId="77777777" w:rsidR="00AB3489" w:rsidRDefault="00AB3489" w:rsidP="001D2540"/>
    <w:p w14:paraId="0660E227" w14:textId="77777777" w:rsidR="00AB3489" w:rsidRDefault="00AB3489" w:rsidP="001D2540"/>
    <w:p w14:paraId="4DD0A3FF" w14:textId="77777777" w:rsidR="00AB3489" w:rsidRDefault="00AB3489" w:rsidP="001D2540"/>
    <w:p w14:paraId="58303F75" w14:textId="77777777" w:rsidR="00AB3489" w:rsidRDefault="00AB3489" w:rsidP="001D2540"/>
    <w:p w14:paraId="4DFF52D4" w14:textId="77777777" w:rsidR="00AB3489" w:rsidRDefault="00AB3489" w:rsidP="001D2540"/>
    <w:p w14:paraId="57197B5C" w14:textId="77777777" w:rsidR="00AB3489" w:rsidRDefault="00AB3489" w:rsidP="001D2540"/>
    <w:p w14:paraId="079E6B4A" w14:textId="77777777" w:rsidR="00AB3489" w:rsidRDefault="00AB3489" w:rsidP="001D2540"/>
    <w:p w14:paraId="6386BAD1" w14:textId="77777777" w:rsidR="00AB3489" w:rsidRDefault="00AB3489" w:rsidP="001D2540"/>
    <w:p w14:paraId="42B9C1F6" w14:textId="77777777" w:rsidR="00AB3489" w:rsidRDefault="00AB3489" w:rsidP="001D2540"/>
    <w:p w14:paraId="6B52D2A1" w14:textId="77777777" w:rsidR="00AB3489" w:rsidRDefault="00AB3489" w:rsidP="001D2540"/>
    <w:p w14:paraId="56977641" w14:textId="77777777" w:rsidR="00596492" w:rsidRDefault="00596492" w:rsidP="001D2540"/>
    <w:p w14:paraId="0BA085F1" w14:textId="77777777" w:rsidR="00596492" w:rsidRDefault="00596492" w:rsidP="001D2540"/>
    <w:p w14:paraId="283F185D" w14:textId="77777777" w:rsidR="00596492" w:rsidRPr="00065BD6" w:rsidRDefault="00596492" w:rsidP="00596492">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9" w:history="1">
        <w:r w:rsidRPr="008B1F54">
          <w:rPr>
            <w:rStyle w:val="Hyperlink"/>
          </w:rPr>
          <w:t>http://scme-support.org/</w:t>
        </w:r>
      </w:hyperlink>
      <w:proofErr w:type="gramStart"/>
      <w:r>
        <w:t xml:space="preserve"> </w:t>
      </w:r>
      <w:r>
        <w:rPr>
          <w:i/>
        </w:rPr>
        <w:t>)</w:t>
      </w:r>
      <w:proofErr w:type="gramEnd"/>
      <w:r>
        <w:rPr>
          <w:i/>
        </w:rPr>
        <w:t xml:space="preserve">. </w:t>
      </w:r>
    </w:p>
    <w:p w14:paraId="179668E7" w14:textId="77777777" w:rsidR="00596492" w:rsidRPr="004B4CE7" w:rsidRDefault="00596492" w:rsidP="001D2540"/>
    <w:sectPr w:rsidR="00596492" w:rsidRPr="004B4CE7" w:rsidSect="001A538D">
      <w:footerReference w:type="default" r:id="rId10"/>
      <w:pgSz w:w="12240" w:h="15840"/>
      <w:pgMar w:top="990" w:right="1800" w:bottom="99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F91E40" w14:textId="77777777" w:rsidR="00AC5EF2" w:rsidRDefault="00AC5EF2" w:rsidP="00BA6341">
      <w:r>
        <w:separator/>
      </w:r>
    </w:p>
  </w:endnote>
  <w:endnote w:type="continuationSeparator" w:id="0">
    <w:p w14:paraId="5096D7BA" w14:textId="77777777" w:rsidR="00AC5EF2" w:rsidRDefault="00AC5EF2" w:rsidP="00BA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Narrow">
    <w:panose1 w:val="020B05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01053" w14:textId="77777777" w:rsidR="00AC5EF2" w:rsidRPr="004B6382" w:rsidRDefault="00AC5EF2" w:rsidP="00BA6341">
    <w:pPr>
      <w:pStyle w:val="Footer"/>
      <w:tabs>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Pr>
        <w:i/>
        <w:sz w:val="22"/>
      </w:rPr>
      <w:fldChar w:fldCharType="begin"/>
    </w:r>
    <w:r>
      <w:rPr>
        <w:i/>
        <w:sz w:val="22"/>
      </w:rPr>
      <w:instrText xml:space="preserve"> PAGE  \* Arabic  \* MERGEFORMAT </w:instrText>
    </w:r>
    <w:r>
      <w:rPr>
        <w:i/>
        <w:sz w:val="22"/>
      </w:rPr>
      <w:fldChar w:fldCharType="separate"/>
    </w:r>
    <w:r w:rsidR="00A11EBB">
      <w:rPr>
        <w:i/>
        <w:noProof/>
        <w:sz w:val="22"/>
      </w:rPr>
      <w:t>2</w:t>
    </w:r>
    <w:r>
      <w:rPr>
        <w:i/>
        <w:sz w:val="22"/>
      </w:rPr>
      <w:fldChar w:fldCharType="end"/>
    </w:r>
    <w:r>
      <w:rPr>
        <w:i/>
        <w:sz w:val="22"/>
      </w:rPr>
      <w:t xml:space="preserve"> of </w:t>
    </w:r>
    <w:fldSimple w:instr=" NUMPAGES  \* Arabic  \* MERGEFORMAT ">
      <w:r w:rsidR="00A11EBB" w:rsidRPr="00A11EBB">
        <w:rPr>
          <w:i/>
          <w:noProof/>
          <w:sz w:val="22"/>
        </w:rPr>
        <w:t>3</w:t>
      </w:r>
    </w:fldSimple>
  </w:p>
  <w:p w14:paraId="4D2EF9FF" w14:textId="77777777" w:rsidR="00AC5EF2" w:rsidRDefault="00AC5EF2" w:rsidP="00BA6341">
    <w:pPr>
      <w:pStyle w:val="Footer"/>
    </w:pPr>
    <w:r w:rsidRPr="004B6382">
      <w:rPr>
        <w:i/>
        <w:sz w:val="22"/>
      </w:rPr>
      <w:fldChar w:fldCharType="begin"/>
    </w:r>
    <w:r w:rsidRPr="004B6382">
      <w:rPr>
        <w:i/>
        <w:sz w:val="22"/>
      </w:rPr>
      <w:instrText xml:space="preserve"> FILENAME </w:instrText>
    </w:r>
    <w:r w:rsidRPr="004B6382">
      <w:rPr>
        <w:i/>
        <w:sz w:val="22"/>
      </w:rPr>
      <w:fldChar w:fldCharType="separate"/>
    </w:r>
    <w:r w:rsidR="00A11EBB">
      <w:rPr>
        <w:i/>
        <w:noProof/>
        <w:sz w:val="22"/>
      </w:rPr>
      <w:t>Clinical_Lab_P1_LM_map_Jan2018.docx</w:t>
    </w:r>
    <w:r w:rsidRPr="004B6382">
      <w:rPr>
        <w:i/>
        <w:sz w:val="22"/>
      </w:rPr>
      <w:fldChar w:fldCharType="end"/>
    </w:r>
    <w:r>
      <w:rPr>
        <w:i/>
        <w:sz w:val="22"/>
      </w:rPr>
      <w:tab/>
    </w:r>
    <w:r>
      <w:rPr>
        <w:i/>
        <w:sz w:val="22"/>
      </w:rPr>
      <w:tab/>
      <w:t>Clinical Laboratory Techniques Learning Map</w:t>
    </w:r>
    <w:r w:rsidRPr="004B6382">
      <w:rPr>
        <w:i/>
        <w:sz w:val="22"/>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43137B" w14:textId="77777777" w:rsidR="00AC5EF2" w:rsidRDefault="00AC5EF2" w:rsidP="00BA6341">
      <w:r>
        <w:separator/>
      </w:r>
    </w:p>
  </w:footnote>
  <w:footnote w:type="continuationSeparator" w:id="0">
    <w:p w14:paraId="77E360D0" w14:textId="77777777" w:rsidR="00AC5EF2" w:rsidRDefault="00AC5EF2" w:rsidP="00BA63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07FCC"/>
    <w:multiLevelType w:val="hybridMultilevel"/>
    <w:tmpl w:val="8E04B2C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20F0F93"/>
    <w:multiLevelType w:val="hybridMultilevel"/>
    <w:tmpl w:val="8F3A4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3C01C8"/>
    <w:multiLevelType w:val="hybridMultilevel"/>
    <w:tmpl w:val="236C2D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56805"/>
    <w:multiLevelType w:val="hybridMultilevel"/>
    <w:tmpl w:val="8AD6D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2531AE"/>
    <w:multiLevelType w:val="hybridMultilevel"/>
    <w:tmpl w:val="3AF643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6">
    <w:nsid w:val="75CA1315"/>
    <w:multiLevelType w:val="hybridMultilevel"/>
    <w:tmpl w:val="6200F9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F7E5582"/>
    <w:multiLevelType w:val="hybridMultilevel"/>
    <w:tmpl w:val="6C6CD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6"/>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82D"/>
    <w:rsid w:val="000065A3"/>
    <w:rsid w:val="000169F6"/>
    <w:rsid w:val="00022697"/>
    <w:rsid w:val="00030E89"/>
    <w:rsid w:val="000573D9"/>
    <w:rsid w:val="00062385"/>
    <w:rsid w:val="00062755"/>
    <w:rsid w:val="0006519B"/>
    <w:rsid w:val="0006672A"/>
    <w:rsid w:val="0008239A"/>
    <w:rsid w:val="000A38BE"/>
    <w:rsid w:val="000A691F"/>
    <w:rsid w:val="000E2A81"/>
    <w:rsid w:val="000E32E1"/>
    <w:rsid w:val="000F0261"/>
    <w:rsid w:val="00102F87"/>
    <w:rsid w:val="00116944"/>
    <w:rsid w:val="00127329"/>
    <w:rsid w:val="001279D8"/>
    <w:rsid w:val="00143292"/>
    <w:rsid w:val="001549D5"/>
    <w:rsid w:val="00155A69"/>
    <w:rsid w:val="001636A6"/>
    <w:rsid w:val="00163B28"/>
    <w:rsid w:val="001A137A"/>
    <w:rsid w:val="001A2987"/>
    <w:rsid w:val="001A538D"/>
    <w:rsid w:val="001A6B62"/>
    <w:rsid w:val="001C2FA7"/>
    <w:rsid w:val="001D2540"/>
    <w:rsid w:val="001D2D87"/>
    <w:rsid w:val="001D5176"/>
    <w:rsid w:val="001E2956"/>
    <w:rsid w:val="001F75D7"/>
    <w:rsid w:val="00225FD2"/>
    <w:rsid w:val="00245147"/>
    <w:rsid w:val="00250C91"/>
    <w:rsid w:val="002654DD"/>
    <w:rsid w:val="00270D32"/>
    <w:rsid w:val="00280493"/>
    <w:rsid w:val="002842AD"/>
    <w:rsid w:val="002B6503"/>
    <w:rsid w:val="002B75B8"/>
    <w:rsid w:val="002F4555"/>
    <w:rsid w:val="0031160F"/>
    <w:rsid w:val="00330D8E"/>
    <w:rsid w:val="00331C35"/>
    <w:rsid w:val="00342933"/>
    <w:rsid w:val="00344BEB"/>
    <w:rsid w:val="003A6557"/>
    <w:rsid w:val="003C6931"/>
    <w:rsid w:val="003E6ECE"/>
    <w:rsid w:val="003F6700"/>
    <w:rsid w:val="00410AEB"/>
    <w:rsid w:val="00425E92"/>
    <w:rsid w:val="00452E3E"/>
    <w:rsid w:val="00487F7E"/>
    <w:rsid w:val="004A6066"/>
    <w:rsid w:val="004B4CE7"/>
    <w:rsid w:val="004C7211"/>
    <w:rsid w:val="004E1D21"/>
    <w:rsid w:val="004E405A"/>
    <w:rsid w:val="004E56CF"/>
    <w:rsid w:val="004F237F"/>
    <w:rsid w:val="00522899"/>
    <w:rsid w:val="005232C9"/>
    <w:rsid w:val="00556465"/>
    <w:rsid w:val="005658F7"/>
    <w:rsid w:val="00594AFF"/>
    <w:rsid w:val="00596492"/>
    <w:rsid w:val="005B5C3F"/>
    <w:rsid w:val="005C377E"/>
    <w:rsid w:val="005D033C"/>
    <w:rsid w:val="005E6CED"/>
    <w:rsid w:val="005F432B"/>
    <w:rsid w:val="00603C4E"/>
    <w:rsid w:val="006048C3"/>
    <w:rsid w:val="00614DF9"/>
    <w:rsid w:val="00625F35"/>
    <w:rsid w:val="00643338"/>
    <w:rsid w:val="006537B7"/>
    <w:rsid w:val="00661215"/>
    <w:rsid w:val="006A3F21"/>
    <w:rsid w:val="006C4B1F"/>
    <w:rsid w:val="0073779E"/>
    <w:rsid w:val="00740211"/>
    <w:rsid w:val="00750B14"/>
    <w:rsid w:val="00760733"/>
    <w:rsid w:val="0077389A"/>
    <w:rsid w:val="007817E7"/>
    <w:rsid w:val="007A2717"/>
    <w:rsid w:val="007A3184"/>
    <w:rsid w:val="007B1758"/>
    <w:rsid w:val="007B1E6E"/>
    <w:rsid w:val="007C391B"/>
    <w:rsid w:val="007C60BC"/>
    <w:rsid w:val="007C6E8F"/>
    <w:rsid w:val="00800781"/>
    <w:rsid w:val="00801C25"/>
    <w:rsid w:val="008067B1"/>
    <w:rsid w:val="008520AE"/>
    <w:rsid w:val="008613B8"/>
    <w:rsid w:val="008A7A24"/>
    <w:rsid w:val="00901EFE"/>
    <w:rsid w:val="00913220"/>
    <w:rsid w:val="00917EAD"/>
    <w:rsid w:val="00920724"/>
    <w:rsid w:val="009732FF"/>
    <w:rsid w:val="00994CF3"/>
    <w:rsid w:val="009A00EF"/>
    <w:rsid w:val="009C30A7"/>
    <w:rsid w:val="009D2299"/>
    <w:rsid w:val="009D5E10"/>
    <w:rsid w:val="009D7205"/>
    <w:rsid w:val="009F7802"/>
    <w:rsid w:val="00A039E7"/>
    <w:rsid w:val="00A11EBB"/>
    <w:rsid w:val="00A17F09"/>
    <w:rsid w:val="00A37C88"/>
    <w:rsid w:val="00A5495D"/>
    <w:rsid w:val="00AB2059"/>
    <w:rsid w:val="00AB3489"/>
    <w:rsid w:val="00AC3BC7"/>
    <w:rsid w:val="00AC5EF2"/>
    <w:rsid w:val="00AE21A9"/>
    <w:rsid w:val="00AE3E1C"/>
    <w:rsid w:val="00AF7F5F"/>
    <w:rsid w:val="00B307D8"/>
    <w:rsid w:val="00B423B5"/>
    <w:rsid w:val="00B43193"/>
    <w:rsid w:val="00B456A3"/>
    <w:rsid w:val="00B50656"/>
    <w:rsid w:val="00B66EF3"/>
    <w:rsid w:val="00B8466D"/>
    <w:rsid w:val="00B93D43"/>
    <w:rsid w:val="00B95584"/>
    <w:rsid w:val="00BA3EB3"/>
    <w:rsid w:val="00BA6341"/>
    <w:rsid w:val="00BC2A7B"/>
    <w:rsid w:val="00BF3657"/>
    <w:rsid w:val="00C410AA"/>
    <w:rsid w:val="00C42FCF"/>
    <w:rsid w:val="00C97637"/>
    <w:rsid w:val="00CC187F"/>
    <w:rsid w:val="00D149F2"/>
    <w:rsid w:val="00D20696"/>
    <w:rsid w:val="00D54874"/>
    <w:rsid w:val="00D70354"/>
    <w:rsid w:val="00D72B37"/>
    <w:rsid w:val="00D817C6"/>
    <w:rsid w:val="00D82475"/>
    <w:rsid w:val="00D8382D"/>
    <w:rsid w:val="00D9521C"/>
    <w:rsid w:val="00DA09EB"/>
    <w:rsid w:val="00DA37A7"/>
    <w:rsid w:val="00DC6B79"/>
    <w:rsid w:val="00DE0103"/>
    <w:rsid w:val="00E35F68"/>
    <w:rsid w:val="00E44C39"/>
    <w:rsid w:val="00E6094C"/>
    <w:rsid w:val="00E62584"/>
    <w:rsid w:val="00E70769"/>
    <w:rsid w:val="00E90052"/>
    <w:rsid w:val="00E95067"/>
    <w:rsid w:val="00EB1BE3"/>
    <w:rsid w:val="00EC3CD8"/>
    <w:rsid w:val="00ED17A0"/>
    <w:rsid w:val="00ED1F8B"/>
    <w:rsid w:val="00EF49B6"/>
    <w:rsid w:val="00F00AB7"/>
    <w:rsid w:val="00F07C01"/>
    <w:rsid w:val="00F11287"/>
    <w:rsid w:val="00F22695"/>
    <w:rsid w:val="00F32FF3"/>
    <w:rsid w:val="00F56A56"/>
    <w:rsid w:val="00F63414"/>
    <w:rsid w:val="00F704EE"/>
    <w:rsid w:val="00F868F1"/>
    <w:rsid w:val="00F878DB"/>
    <w:rsid w:val="00FA5BBB"/>
    <w:rsid w:val="00FE45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7B67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 w:type="paragraph" w:styleId="NormalWeb">
    <w:name w:val="Normal (Web)"/>
    <w:basedOn w:val="Normal"/>
    <w:uiPriority w:val="99"/>
    <w:unhideWhenUsed/>
    <w:rsid w:val="001279D8"/>
    <w:pPr>
      <w:spacing w:before="100" w:beforeAutospacing="1" w:after="100" w:afterAutospacing="1"/>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 w:type="paragraph" w:styleId="NormalWeb">
    <w:name w:val="Normal (Web)"/>
    <w:basedOn w:val="Normal"/>
    <w:uiPriority w:val="99"/>
    <w:unhideWhenUsed/>
    <w:rsid w:val="001279D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64834">
      <w:bodyDiv w:val="1"/>
      <w:marLeft w:val="0"/>
      <w:marRight w:val="0"/>
      <w:marTop w:val="0"/>
      <w:marBottom w:val="0"/>
      <w:divBdr>
        <w:top w:val="none" w:sz="0" w:space="0" w:color="auto"/>
        <w:left w:val="none" w:sz="0" w:space="0" w:color="auto"/>
        <w:bottom w:val="none" w:sz="0" w:space="0" w:color="auto"/>
        <w:right w:val="none" w:sz="0" w:space="0" w:color="auto"/>
      </w:divBdr>
    </w:div>
    <w:div w:id="180368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cme-nm.org" TargetMode="External"/><Relationship Id="rId9" Type="http://schemas.openxmlformats.org/officeDocument/2006/relationships/hyperlink" Target="http://scme-support.org/"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594</Words>
  <Characters>3391</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No</vt:lpstr>
    </vt:vector>
  </TitlesOfParts>
  <Company>Intel Corporation</Company>
  <LinksUpToDate>false</LinksUpToDate>
  <CharactersWithSpaces>3978</CharactersWithSpaces>
  <SharedDoc>false</SharedDoc>
  <HLinks>
    <vt:vector size="12" baseType="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jlhyder</dc:creator>
  <cp:lastModifiedBy>MJ Willis</cp:lastModifiedBy>
  <cp:revision>3</cp:revision>
  <cp:lastPrinted>2018-01-30T17:20:00Z</cp:lastPrinted>
  <dcterms:created xsi:type="dcterms:W3CDTF">2018-01-30T17:20:00Z</dcterms:created>
  <dcterms:modified xsi:type="dcterms:W3CDTF">2018-01-30T23:14:00Z</dcterms:modified>
</cp:coreProperties>
</file>