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B6E728" w14:textId="77777777" w:rsidR="004E56CF" w:rsidRPr="00B03158" w:rsidRDefault="004E56CF" w:rsidP="006448F6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02CEB091" w14:textId="77777777" w:rsidR="004E56CF" w:rsidRPr="00B03158" w:rsidRDefault="004E56CF" w:rsidP="004E56CF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4E5865A5" w14:textId="77777777" w:rsidR="004E56CF" w:rsidRDefault="004E56CF" w:rsidP="006448F6">
      <w:pPr>
        <w:rPr>
          <w:b/>
          <w:sz w:val="32"/>
        </w:rPr>
      </w:pPr>
    </w:p>
    <w:p w14:paraId="304042E9" w14:textId="77777777" w:rsidR="00173F72" w:rsidRPr="00A05FAF" w:rsidRDefault="00173F72" w:rsidP="00173F72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MEMS Micromachining Overview</w:t>
      </w:r>
    </w:p>
    <w:p w14:paraId="2C53B891" w14:textId="77777777" w:rsidR="004E56CF" w:rsidRPr="00A05FAF" w:rsidRDefault="00F00AB7" w:rsidP="004E56CF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22DC56F0" w14:textId="77777777" w:rsidR="004E56CF" w:rsidRDefault="004E56CF" w:rsidP="004E56CF">
      <w:pPr>
        <w:jc w:val="center"/>
        <w:rPr>
          <w:b/>
          <w:sz w:val="32"/>
        </w:rPr>
      </w:pPr>
    </w:p>
    <w:p w14:paraId="79FFFADE" w14:textId="77777777" w:rsidR="00F00AB7" w:rsidRPr="00B37343" w:rsidRDefault="00F00AB7" w:rsidP="00F00AB7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</w:t>
      </w:r>
      <w:r w:rsidR="00205C85">
        <w:rPr>
          <w:sz w:val="28"/>
          <w:u w:val="single"/>
        </w:rPr>
        <w:t xml:space="preserve">learning module </w:t>
      </w:r>
      <w:r w:rsidRPr="00B37343">
        <w:rPr>
          <w:sz w:val="28"/>
          <w:u w:val="single"/>
        </w:rPr>
        <w:t xml:space="preserve">contains </w:t>
      </w:r>
      <w:r w:rsidR="006448F6">
        <w:rPr>
          <w:sz w:val="28"/>
          <w:u w:val="single"/>
        </w:rPr>
        <w:t>the following:</w:t>
      </w:r>
    </w:p>
    <w:p w14:paraId="6C481400" w14:textId="77777777" w:rsidR="00C4577E" w:rsidRDefault="00C4577E" w:rsidP="00F00AB7">
      <w:pPr>
        <w:jc w:val="center"/>
        <w:rPr>
          <w:sz w:val="28"/>
        </w:rPr>
      </w:pPr>
      <w:r>
        <w:rPr>
          <w:sz w:val="28"/>
        </w:rPr>
        <w:t>Knowledge Probe (KP) or Pre-test</w:t>
      </w:r>
    </w:p>
    <w:p w14:paraId="24343FDC" w14:textId="77777777" w:rsidR="00F00AB7" w:rsidRPr="00B37343" w:rsidRDefault="00F00AB7" w:rsidP="00F00AB7">
      <w:pPr>
        <w:jc w:val="center"/>
        <w:rPr>
          <w:sz w:val="28"/>
        </w:rPr>
      </w:pPr>
      <w:r w:rsidRPr="00B37343">
        <w:rPr>
          <w:sz w:val="28"/>
        </w:rPr>
        <w:t>Primary Knowledge</w:t>
      </w:r>
      <w:r w:rsidR="00173F72">
        <w:rPr>
          <w:sz w:val="28"/>
        </w:rPr>
        <w:t xml:space="preserve"> (PK)</w:t>
      </w:r>
    </w:p>
    <w:p w14:paraId="03829824" w14:textId="77777777" w:rsidR="00F00AB7" w:rsidRPr="00B37343" w:rsidRDefault="002F2305" w:rsidP="00F00AB7">
      <w:pPr>
        <w:jc w:val="center"/>
        <w:rPr>
          <w:sz w:val="28"/>
        </w:rPr>
      </w:pPr>
      <w:r>
        <w:rPr>
          <w:sz w:val="28"/>
        </w:rPr>
        <w:t>Terminology</w:t>
      </w:r>
      <w:r w:rsidR="00F00AB7" w:rsidRPr="00B37343">
        <w:rPr>
          <w:sz w:val="28"/>
        </w:rPr>
        <w:t xml:space="preserve"> Activity</w:t>
      </w:r>
    </w:p>
    <w:p w14:paraId="44135FEA" w14:textId="77777777" w:rsidR="00F00AB7" w:rsidRDefault="00173F72" w:rsidP="00F00AB7">
      <w:pPr>
        <w:jc w:val="center"/>
        <w:rPr>
          <w:sz w:val="28"/>
        </w:rPr>
      </w:pPr>
      <w:r>
        <w:rPr>
          <w:sz w:val="28"/>
        </w:rPr>
        <w:t>Research</w:t>
      </w:r>
      <w:r w:rsidR="00F00AB7" w:rsidRPr="00B37343">
        <w:rPr>
          <w:sz w:val="28"/>
        </w:rPr>
        <w:t xml:space="preserve"> Activity</w:t>
      </w:r>
    </w:p>
    <w:p w14:paraId="39CC6DF4" w14:textId="77777777" w:rsidR="002F2305" w:rsidRDefault="00C4577E" w:rsidP="004E56CF">
      <w:pPr>
        <w:jc w:val="center"/>
        <w:rPr>
          <w:sz w:val="28"/>
        </w:rPr>
      </w:pPr>
      <w:r>
        <w:rPr>
          <w:sz w:val="28"/>
        </w:rPr>
        <w:t>Final</w:t>
      </w:r>
      <w:r w:rsidR="00173F72">
        <w:rPr>
          <w:sz w:val="28"/>
        </w:rPr>
        <w:t xml:space="preserve"> </w:t>
      </w:r>
      <w:r w:rsidR="00205C85">
        <w:rPr>
          <w:sz w:val="28"/>
        </w:rPr>
        <w:t>Assessment</w:t>
      </w:r>
    </w:p>
    <w:p w14:paraId="72A2F7F0" w14:textId="77777777" w:rsidR="00F00AB7" w:rsidRDefault="00F00AB7" w:rsidP="004E56CF">
      <w:pPr>
        <w:jc w:val="center"/>
        <w:rPr>
          <w:sz w:val="28"/>
        </w:rPr>
      </w:pPr>
    </w:p>
    <w:p w14:paraId="710EAB45" w14:textId="77777777" w:rsidR="00205C85" w:rsidRDefault="00205C85" w:rsidP="00205C85">
      <w:pPr>
        <w:jc w:val="center"/>
        <w:rPr>
          <w:sz w:val="28"/>
        </w:rPr>
      </w:pPr>
      <w:r w:rsidRPr="00DA3AC5">
        <w:rPr>
          <w:sz w:val="28"/>
        </w:rPr>
        <w:t xml:space="preserve">A </w:t>
      </w:r>
      <w:r w:rsidRPr="00205C85">
        <w:rPr>
          <w:sz w:val="28"/>
        </w:rPr>
        <w:t>Learning Module Map</w:t>
      </w:r>
      <w:r w:rsidRPr="00DA3AC5">
        <w:rPr>
          <w:sz w:val="28"/>
        </w:rPr>
        <w:t xml:space="preserve"> is included as a suggested outline on how to use this learning module.</w:t>
      </w:r>
    </w:p>
    <w:p w14:paraId="5ACD6449" w14:textId="77777777" w:rsidR="00205C85" w:rsidRDefault="00205C85" w:rsidP="00205C85">
      <w:pPr>
        <w:jc w:val="center"/>
        <w:rPr>
          <w:sz w:val="28"/>
        </w:rPr>
      </w:pPr>
    </w:p>
    <w:p w14:paraId="148D25DB" w14:textId="3CF99F4E" w:rsidR="00205C85" w:rsidRPr="00205C85" w:rsidRDefault="00D76AC9" w:rsidP="00205C85">
      <w:pPr>
        <w:jc w:val="center"/>
        <w:rPr>
          <w:i/>
          <w:sz w:val="28"/>
        </w:rPr>
      </w:pPr>
      <w:r>
        <w:rPr>
          <w:i/>
          <w:sz w:val="28"/>
        </w:rPr>
        <w:t>This</w:t>
      </w:r>
      <w:r w:rsidR="00205C85">
        <w:rPr>
          <w:i/>
          <w:sz w:val="28"/>
        </w:rPr>
        <w:t xml:space="preserve"> learning module provid</w:t>
      </w:r>
      <w:r>
        <w:rPr>
          <w:i/>
          <w:sz w:val="28"/>
        </w:rPr>
        <w:t>es an overview of</w:t>
      </w:r>
      <w:r w:rsidR="00205C85">
        <w:rPr>
          <w:i/>
          <w:sz w:val="28"/>
        </w:rPr>
        <w:t xml:space="preserve"> three micromachining processes (bulk, surface, LIGA) used for the fabrication of microsystems or MEMS (microelectromechanical systems).  Activities are provided that </w:t>
      </w:r>
      <w:r>
        <w:rPr>
          <w:i/>
          <w:sz w:val="28"/>
        </w:rPr>
        <w:t xml:space="preserve">contribute to a better understanding of these processes and that </w:t>
      </w:r>
      <w:r w:rsidR="00205C85">
        <w:rPr>
          <w:i/>
          <w:sz w:val="28"/>
        </w:rPr>
        <w:t>encourage further exploration.</w:t>
      </w:r>
    </w:p>
    <w:p w14:paraId="05F1F42A" w14:textId="77777777" w:rsidR="00F00AB7" w:rsidRDefault="00F00AB7" w:rsidP="00F00AB7">
      <w:pPr>
        <w:jc w:val="center"/>
        <w:rPr>
          <w:sz w:val="32"/>
        </w:rPr>
      </w:pPr>
    </w:p>
    <w:p w14:paraId="2E30AC2D" w14:textId="77777777" w:rsidR="004E56CF" w:rsidRPr="002B6014" w:rsidRDefault="00F00AB7" w:rsidP="004E56CF">
      <w:pPr>
        <w:jc w:val="center"/>
        <w:rPr>
          <w:sz w:val="32"/>
        </w:rPr>
      </w:pPr>
      <w:r>
        <w:rPr>
          <w:sz w:val="32"/>
        </w:rPr>
        <w:t>T</w:t>
      </w:r>
      <w:r w:rsidR="004E56CF" w:rsidRPr="002B6014">
        <w:rPr>
          <w:sz w:val="32"/>
        </w:rPr>
        <w:t>arget audience</w:t>
      </w:r>
      <w:r w:rsidR="004E56CF">
        <w:rPr>
          <w:sz w:val="32"/>
        </w:rPr>
        <w:t>s:</w:t>
      </w:r>
      <w:r w:rsidR="004E56CF" w:rsidRPr="002B6014">
        <w:rPr>
          <w:sz w:val="32"/>
        </w:rPr>
        <w:t xml:space="preserve"> </w:t>
      </w:r>
      <w:r w:rsidR="004E56CF">
        <w:rPr>
          <w:sz w:val="32"/>
        </w:rPr>
        <w:t>H</w:t>
      </w:r>
      <w:r w:rsidR="004E56CF" w:rsidRPr="002B6014">
        <w:rPr>
          <w:sz w:val="32"/>
        </w:rPr>
        <w:t xml:space="preserve">igh </w:t>
      </w:r>
      <w:r w:rsidR="004E56CF">
        <w:rPr>
          <w:sz w:val="32"/>
        </w:rPr>
        <w:t>School, Community College</w:t>
      </w:r>
      <w:r w:rsidR="00205C85">
        <w:rPr>
          <w:sz w:val="32"/>
        </w:rPr>
        <w:t xml:space="preserve">, </w:t>
      </w:r>
      <w:proofErr w:type="gramStart"/>
      <w:r w:rsidR="00205C85">
        <w:rPr>
          <w:sz w:val="32"/>
        </w:rPr>
        <w:t>Universities</w:t>
      </w:r>
      <w:proofErr w:type="gramEnd"/>
    </w:p>
    <w:p w14:paraId="1C4A07AD" w14:textId="77777777" w:rsidR="004E56CF" w:rsidRDefault="004E56CF" w:rsidP="006448F6">
      <w:pPr>
        <w:rPr>
          <w:b/>
          <w:sz w:val="32"/>
        </w:rPr>
      </w:pPr>
    </w:p>
    <w:p w14:paraId="5F153CB5" w14:textId="77777777" w:rsidR="00205C85" w:rsidRDefault="00205C85" w:rsidP="00205C85">
      <w:pPr>
        <w:jc w:val="center"/>
      </w:pPr>
      <w:r>
        <w:t>Made possible through grants from the National Science Foundation Department of Undergraduate Education #0830384, 0902411, and 1205138.</w:t>
      </w:r>
    </w:p>
    <w:p w14:paraId="4CC6C2D2" w14:textId="77777777" w:rsidR="00205C85" w:rsidRDefault="00205C85" w:rsidP="00205C85">
      <w:pPr>
        <w:jc w:val="center"/>
      </w:pPr>
    </w:p>
    <w:p w14:paraId="002CCEAE" w14:textId="77777777" w:rsidR="00205C85" w:rsidRDefault="00205C85" w:rsidP="00205C85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52019B43" w14:textId="77777777" w:rsidR="00205C85" w:rsidRDefault="00205C85" w:rsidP="00205C85">
      <w:pPr>
        <w:rPr>
          <w:b/>
          <w:sz w:val="32"/>
        </w:rPr>
      </w:pPr>
    </w:p>
    <w:p w14:paraId="22AE4012" w14:textId="77777777" w:rsidR="00205C85" w:rsidRDefault="00205C85" w:rsidP="00205C85">
      <w:pPr>
        <w:jc w:val="center"/>
      </w:pPr>
      <w:r>
        <w:t>Southwest Center for Microsystems Education (SCME) NSF ATE Center</w:t>
      </w:r>
    </w:p>
    <w:p w14:paraId="11DCB587" w14:textId="77777777" w:rsidR="00205C85" w:rsidRDefault="00A67E07" w:rsidP="00205C85">
      <w:pPr>
        <w:jc w:val="center"/>
      </w:pPr>
      <w:r>
        <w:t>© 2010</w:t>
      </w:r>
      <w:r w:rsidR="00205C85">
        <w:t xml:space="preserve"> Regents of the University of New Mexico</w:t>
      </w:r>
    </w:p>
    <w:p w14:paraId="5B2CBE5A" w14:textId="77777777" w:rsidR="00205C85" w:rsidRDefault="00205C85" w:rsidP="00205C85">
      <w:pPr>
        <w:jc w:val="center"/>
      </w:pPr>
    </w:p>
    <w:p w14:paraId="5E8F7961" w14:textId="77777777" w:rsidR="00205C85" w:rsidRDefault="00205C85" w:rsidP="00205C85">
      <w:pPr>
        <w:jc w:val="center"/>
      </w:pPr>
      <w:r>
        <w:t>Content is protected by the CC Attribution Non-Commercial Share Alike license.</w:t>
      </w:r>
    </w:p>
    <w:p w14:paraId="413073A7" w14:textId="77777777" w:rsidR="00205C85" w:rsidRDefault="00205C85" w:rsidP="00205C85">
      <w:pPr>
        <w:jc w:val="center"/>
      </w:pPr>
    </w:p>
    <w:p w14:paraId="7AD19958" w14:textId="77777777" w:rsidR="00205C85" w:rsidRPr="006A6E75" w:rsidRDefault="00205C85" w:rsidP="00205C85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55F4B057" w14:textId="77777777" w:rsidR="00D8382D" w:rsidRPr="00C4577E" w:rsidRDefault="004E56CF" w:rsidP="00C4577E">
      <w:pPr>
        <w:jc w:val="center"/>
        <w:rPr>
          <w:b/>
        </w:rPr>
      </w:pPr>
      <w:r>
        <w:br w:type="page"/>
      </w:r>
      <w:r w:rsidR="00994CF3" w:rsidRPr="00C4577E">
        <w:rPr>
          <w:b/>
        </w:rPr>
        <w:lastRenderedPageBreak/>
        <w:t xml:space="preserve">Learning Module </w:t>
      </w:r>
      <w:r w:rsidR="0008239A" w:rsidRPr="00C4577E">
        <w:rPr>
          <w:b/>
        </w:rPr>
        <w:t xml:space="preserve">Map for </w:t>
      </w:r>
      <w:r w:rsidR="00173F72" w:rsidRPr="00C4577E">
        <w:rPr>
          <w:b/>
        </w:rPr>
        <w:t>MEMS Micromachining Overview</w:t>
      </w:r>
      <w:r w:rsidR="00994CF3" w:rsidRPr="00C4577E">
        <w:rPr>
          <w:b/>
        </w:rPr>
        <w:t xml:space="preserve"> </w:t>
      </w:r>
    </w:p>
    <w:p w14:paraId="271DDEB0" w14:textId="77777777" w:rsidR="00D8382D" w:rsidRPr="004B4CE7" w:rsidRDefault="00D8382D" w:rsidP="006448F6"/>
    <w:p w14:paraId="6BD18D35" w14:textId="77777777" w:rsidR="000D04DE" w:rsidRPr="000D04DE" w:rsidRDefault="000D04DE" w:rsidP="000D04DE">
      <w:pPr>
        <w:rPr>
          <w:i/>
        </w:rPr>
      </w:pPr>
      <w:bookmarkStart w:id="0" w:name="_GoBack"/>
      <w:r w:rsidRPr="000D04DE">
        <w:rPr>
          <w:i/>
        </w:rPr>
        <w:t>This learning module provides an overview of three micromachining processes (bulk, surface, LIGA) used for the fabrication of microsystems or MEMS (</w:t>
      </w:r>
      <w:proofErr w:type="spellStart"/>
      <w:r w:rsidRPr="000D04DE">
        <w:rPr>
          <w:i/>
        </w:rPr>
        <w:t>microelectromechanical</w:t>
      </w:r>
      <w:proofErr w:type="spellEnd"/>
      <w:r w:rsidRPr="000D04DE">
        <w:rPr>
          <w:i/>
        </w:rPr>
        <w:t xml:space="preserve"> systems).  Activities are provided that contribute to a better understanding of these processes and that encourage further exploration.</w:t>
      </w:r>
    </w:p>
    <w:bookmarkEnd w:id="0"/>
    <w:p w14:paraId="2AAAC6FC" w14:textId="77777777" w:rsidR="006448F6" w:rsidRDefault="006448F6" w:rsidP="00D8382D">
      <w:pPr>
        <w:spacing w:line="360" w:lineRule="auto"/>
      </w:pPr>
    </w:p>
    <w:p w14:paraId="74A06B3D" w14:textId="77777777" w:rsidR="00994CF3" w:rsidRDefault="006448F6" w:rsidP="00D8382D">
      <w:pPr>
        <w:spacing w:line="360" w:lineRule="auto"/>
      </w:pPr>
      <w:r>
        <w:t>Learning Module contains five units plus an additional set of activities for LIGA</w:t>
      </w:r>
      <w:r w:rsidR="00D8382D" w:rsidRPr="004B4CE7">
        <w:t xml:space="preserve">: </w:t>
      </w:r>
    </w:p>
    <w:p w14:paraId="493EFE1E" w14:textId="77777777" w:rsidR="00C4577E" w:rsidRDefault="00C4577E" w:rsidP="001D2540">
      <w:pPr>
        <w:numPr>
          <w:ilvl w:val="0"/>
          <w:numId w:val="8"/>
        </w:numPr>
      </w:pPr>
      <w:r>
        <w:t>Knowledge Probe (KP) - Pretest</w:t>
      </w:r>
    </w:p>
    <w:p w14:paraId="10A7A197" w14:textId="77777777" w:rsidR="002F2305" w:rsidRDefault="00173F72" w:rsidP="001D2540">
      <w:pPr>
        <w:numPr>
          <w:ilvl w:val="0"/>
          <w:numId w:val="8"/>
        </w:numPr>
      </w:pPr>
      <w:r>
        <w:t>MEMS Micromachining Overview</w:t>
      </w:r>
      <w:r w:rsidR="002F2305">
        <w:t xml:space="preserve"> Primary Knowledge (PK)</w:t>
      </w:r>
    </w:p>
    <w:p w14:paraId="09EEC56C" w14:textId="77777777" w:rsidR="002F2305" w:rsidRDefault="002F2305" w:rsidP="001D2540">
      <w:pPr>
        <w:numPr>
          <w:ilvl w:val="0"/>
          <w:numId w:val="8"/>
        </w:numPr>
      </w:pPr>
      <w:r>
        <w:t>Terminology Activity</w:t>
      </w:r>
    </w:p>
    <w:p w14:paraId="2818701E" w14:textId="77777777" w:rsidR="002F2305" w:rsidRDefault="00173F72" w:rsidP="001D2540">
      <w:pPr>
        <w:numPr>
          <w:ilvl w:val="0"/>
          <w:numId w:val="8"/>
        </w:numPr>
      </w:pPr>
      <w:r>
        <w:t xml:space="preserve">Research </w:t>
      </w:r>
      <w:r w:rsidR="002F2305">
        <w:t>Activity</w:t>
      </w:r>
    </w:p>
    <w:p w14:paraId="4C91E4FF" w14:textId="77777777" w:rsidR="006448F6" w:rsidRDefault="006448F6" w:rsidP="001D2540">
      <w:pPr>
        <w:numPr>
          <w:ilvl w:val="0"/>
          <w:numId w:val="8"/>
        </w:numPr>
      </w:pPr>
      <w:r>
        <w:t>LIGA Activities (See NOTE)</w:t>
      </w:r>
    </w:p>
    <w:p w14:paraId="140AEA06" w14:textId="77777777" w:rsidR="002F2305" w:rsidRDefault="00C4577E" w:rsidP="001D2540">
      <w:pPr>
        <w:numPr>
          <w:ilvl w:val="0"/>
          <w:numId w:val="8"/>
        </w:numPr>
      </w:pPr>
      <w:r>
        <w:t xml:space="preserve">Final </w:t>
      </w:r>
      <w:r w:rsidR="00173F72">
        <w:t xml:space="preserve">Assessment </w:t>
      </w:r>
      <w:r>
        <w:t>(a short answer and multiple choice version included)</w:t>
      </w:r>
    </w:p>
    <w:p w14:paraId="01C0A46D" w14:textId="77777777" w:rsidR="00D8382D" w:rsidRDefault="00D8382D" w:rsidP="00D8382D"/>
    <w:p w14:paraId="56709E92" w14:textId="4F61418F" w:rsidR="000A01B1" w:rsidRPr="000A01B1" w:rsidRDefault="000A01B1" w:rsidP="00D8382D">
      <w:pPr>
        <w:rPr>
          <w:i/>
        </w:rPr>
      </w:pPr>
      <w:r w:rsidRPr="000A01B1">
        <w:rPr>
          <w:i/>
        </w:rPr>
        <w:t xml:space="preserve">NOTE:  There are four (4) LIGA Activities that </w:t>
      </w:r>
      <w:r w:rsidR="00C65252">
        <w:rPr>
          <w:i/>
        </w:rPr>
        <w:t xml:space="preserve">can be used to </w:t>
      </w:r>
      <w:r w:rsidRPr="000A01B1">
        <w:rPr>
          <w:i/>
        </w:rPr>
        <w:t>supp</w:t>
      </w:r>
      <w:r w:rsidR="00C65252">
        <w:rPr>
          <w:i/>
        </w:rPr>
        <w:t>ort the LIGA portion of this</w:t>
      </w:r>
      <w:r w:rsidR="00D42CC8">
        <w:rPr>
          <w:i/>
        </w:rPr>
        <w:t xml:space="preserve"> learning module. </w:t>
      </w:r>
      <w:r w:rsidR="006448F6">
        <w:rPr>
          <w:i/>
        </w:rPr>
        <w:t>Two of t</w:t>
      </w:r>
      <w:r w:rsidRPr="000A01B1">
        <w:rPr>
          <w:i/>
        </w:rPr>
        <w:t xml:space="preserve">hese activities are supported with a </w:t>
      </w:r>
      <w:r w:rsidR="00D42CC8">
        <w:rPr>
          <w:i/>
        </w:rPr>
        <w:t xml:space="preserve">SCME </w:t>
      </w:r>
      <w:r w:rsidRPr="000A01B1">
        <w:rPr>
          <w:i/>
        </w:rPr>
        <w:t>kit that can be requested through the SCME website</w:t>
      </w:r>
      <w:r w:rsidR="006448F6">
        <w:rPr>
          <w:i/>
        </w:rPr>
        <w:t xml:space="preserve"> while supply lasts and the center is funded</w:t>
      </w:r>
      <w:r w:rsidRPr="000A01B1">
        <w:rPr>
          <w:i/>
        </w:rPr>
        <w:t xml:space="preserve">.  The four </w:t>
      </w:r>
      <w:r w:rsidR="00C65252">
        <w:rPr>
          <w:i/>
        </w:rPr>
        <w:t xml:space="preserve">LIGA </w:t>
      </w:r>
      <w:r w:rsidRPr="000A01B1">
        <w:rPr>
          <w:i/>
        </w:rPr>
        <w:t xml:space="preserve">activities consist of a research activity, a LIGA simulation of lithography and electroplating (Part I and II), and a terminology activity. </w:t>
      </w:r>
      <w:r w:rsidR="00D76AC9">
        <w:rPr>
          <w:i/>
        </w:rPr>
        <w:t>The LIGA activities are grouped together in a supporting module.</w:t>
      </w:r>
    </w:p>
    <w:p w14:paraId="398030FE" w14:textId="77777777" w:rsidR="000A01B1" w:rsidRDefault="000A01B1" w:rsidP="00D8382D"/>
    <w:p w14:paraId="05E4449D" w14:textId="77777777" w:rsidR="003F6700" w:rsidRDefault="003F6700" w:rsidP="00D8382D">
      <w:r w:rsidRPr="004E56CF">
        <w:rPr>
          <w:b/>
        </w:rPr>
        <w:t>Following is a suggested map on the implementation of this learning module</w:t>
      </w:r>
      <w:r>
        <w:t>.</w:t>
      </w:r>
    </w:p>
    <w:p w14:paraId="2128E153" w14:textId="77777777" w:rsidR="00C65252" w:rsidRDefault="00C65252" w:rsidP="00D8382D"/>
    <w:p w14:paraId="38590006" w14:textId="77777777" w:rsidR="003F6700" w:rsidRPr="004B4CE7" w:rsidRDefault="003F6700" w:rsidP="00D8382D"/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3420"/>
        <w:gridCol w:w="3240"/>
      </w:tblGrid>
      <w:tr w:rsidR="00D8382D" w:rsidRPr="004B4CE7" w14:paraId="3924F8D3" w14:textId="77777777" w:rsidTr="005D033C">
        <w:tc>
          <w:tcPr>
            <w:tcW w:w="2995" w:type="dxa"/>
          </w:tcPr>
          <w:p w14:paraId="4962BBF9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IMPORTANT STEPS</w:t>
            </w:r>
          </w:p>
        </w:tc>
        <w:tc>
          <w:tcPr>
            <w:tcW w:w="3420" w:type="dxa"/>
          </w:tcPr>
          <w:p w14:paraId="6BD21878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KEY POINTS</w:t>
            </w:r>
          </w:p>
        </w:tc>
        <w:tc>
          <w:tcPr>
            <w:tcW w:w="3240" w:type="dxa"/>
          </w:tcPr>
          <w:p w14:paraId="7601ABB3" w14:textId="77777777" w:rsidR="00D8382D" w:rsidRPr="004B4CE7" w:rsidRDefault="00D8382D" w:rsidP="00143292">
            <w:pPr>
              <w:jc w:val="center"/>
              <w:rPr>
                <w:b/>
                <w:bCs/>
              </w:rPr>
            </w:pPr>
            <w:r w:rsidRPr="004B4CE7">
              <w:rPr>
                <w:b/>
                <w:bCs/>
              </w:rPr>
              <w:t>REASONS</w:t>
            </w:r>
          </w:p>
        </w:tc>
      </w:tr>
      <w:tr w:rsidR="002654DD" w:rsidRPr="004B4CE7" w14:paraId="6F5560C2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5A6A87CC" w14:textId="77777777" w:rsidR="002F2305" w:rsidRPr="002F2305" w:rsidRDefault="002F2305" w:rsidP="00225FD2">
            <w:pPr>
              <w:pStyle w:val="Header"/>
            </w:pPr>
            <w:r>
              <w:rPr>
                <w:u w:val="single"/>
              </w:rPr>
              <w:t>Pre-test</w:t>
            </w:r>
            <w:r w:rsidR="00C65252">
              <w:rPr>
                <w:u w:val="single"/>
              </w:rPr>
              <w:t>:</w:t>
            </w:r>
          </w:p>
          <w:p w14:paraId="43E89272" w14:textId="77777777" w:rsidR="002654DD" w:rsidRPr="004B4CE7" w:rsidRDefault="00C65252" w:rsidP="006448F6">
            <w:pPr>
              <w:pStyle w:val="Header"/>
            </w:pPr>
            <w:r>
              <w:t xml:space="preserve">Have the participants </w:t>
            </w:r>
            <w:r w:rsidR="006448F6">
              <w:t>complete</w:t>
            </w:r>
            <w:r>
              <w:t xml:space="preserve"> the Knowledge Probe (KP)</w:t>
            </w:r>
          </w:p>
        </w:tc>
        <w:tc>
          <w:tcPr>
            <w:tcW w:w="3420" w:type="dxa"/>
            <w:vAlign w:val="center"/>
          </w:tcPr>
          <w:p w14:paraId="4C470A7C" w14:textId="77777777" w:rsidR="002654DD" w:rsidRPr="004B4CE7" w:rsidRDefault="00C65252" w:rsidP="00173F72">
            <w:pPr>
              <w:pStyle w:val="Header"/>
            </w:pPr>
            <w:r>
              <w:t>The KP contains questions about the processes discussed in this learning module and assesses what the participants may already know.</w:t>
            </w:r>
          </w:p>
        </w:tc>
        <w:tc>
          <w:tcPr>
            <w:tcW w:w="3240" w:type="dxa"/>
            <w:vAlign w:val="center"/>
          </w:tcPr>
          <w:p w14:paraId="5C6A268A" w14:textId="77777777" w:rsidR="002654DD" w:rsidRDefault="00C65252" w:rsidP="00173F72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This KP stimulates the participants’ thinking on this subject as well as provides the instructor with an idea of what the participants may or may not already know.</w:t>
            </w:r>
          </w:p>
        </w:tc>
      </w:tr>
      <w:tr w:rsidR="00D8382D" w:rsidRPr="004B4CE7" w14:paraId="7895DC92" w14:textId="77777777" w:rsidTr="005D033C">
        <w:trPr>
          <w:cantSplit/>
          <w:trHeight w:val="2303"/>
        </w:trPr>
        <w:tc>
          <w:tcPr>
            <w:tcW w:w="2995" w:type="dxa"/>
            <w:vAlign w:val="center"/>
          </w:tcPr>
          <w:p w14:paraId="396DF082" w14:textId="77777777" w:rsidR="002F2305" w:rsidRPr="002F2305" w:rsidRDefault="002F2305" w:rsidP="003F6700">
            <w:pPr>
              <w:pStyle w:val="Header"/>
            </w:pPr>
            <w:r>
              <w:rPr>
                <w:u w:val="single"/>
              </w:rPr>
              <w:t>Unit Presentation</w:t>
            </w:r>
            <w:r w:rsidR="00D95B57">
              <w:rPr>
                <w:u w:val="single"/>
              </w:rPr>
              <w:t>:</w:t>
            </w:r>
          </w:p>
          <w:p w14:paraId="49B072C8" w14:textId="77777777" w:rsidR="00D8382D" w:rsidRPr="004B4CE7" w:rsidRDefault="007A3184" w:rsidP="00173F72">
            <w:pPr>
              <w:pStyle w:val="Header"/>
            </w:pPr>
            <w:r>
              <w:t xml:space="preserve">Present the </w:t>
            </w:r>
            <w:r w:rsidR="00173F72">
              <w:rPr>
                <w:u w:val="single"/>
              </w:rPr>
              <w:t>MEMS Micromachining Overview</w:t>
            </w:r>
            <w:r w:rsidRPr="001D2540">
              <w:rPr>
                <w:u w:val="single"/>
              </w:rPr>
              <w:t xml:space="preserve"> PK</w:t>
            </w:r>
          </w:p>
        </w:tc>
        <w:tc>
          <w:tcPr>
            <w:tcW w:w="3420" w:type="dxa"/>
            <w:vAlign w:val="center"/>
          </w:tcPr>
          <w:p w14:paraId="11304E68" w14:textId="77777777" w:rsidR="003F6700" w:rsidRDefault="003F6700" w:rsidP="000A691F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Participants should read the PK.  </w:t>
            </w:r>
          </w:p>
          <w:p w14:paraId="053CA6E7" w14:textId="77777777" w:rsidR="007A3184" w:rsidRPr="007A3184" w:rsidRDefault="007A3184" w:rsidP="007A3184"/>
          <w:p w14:paraId="02DBAB76" w14:textId="77777777" w:rsidR="00D8382D" w:rsidRPr="004B4CE7" w:rsidRDefault="003F6700" w:rsidP="007A3184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>A PowerPoint presentation can be downloaded from scme-nm.org</w:t>
            </w:r>
            <w:r w:rsidR="002654DD">
              <w:t xml:space="preserve"> and presented to all participants</w:t>
            </w:r>
            <w:r w:rsidR="00F00AB7">
              <w:t>.</w:t>
            </w:r>
          </w:p>
        </w:tc>
        <w:tc>
          <w:tcPr>
            <w:tcW w:w="3240" w:type="dxa"/>
            <w:vAlign w:val="center"/>
          </w:tcPr>
          <w:p w14:paraId="404D828B" w14:textId="77777777" w:rsidR="00D8382D" w:rsidRPr="004B4CE7" w:rsidRDefault="008067B1" w:rsidP="00173F72">
            <w:pPr>
              <w:pStyle w:val="BulletList"/>
              <w:numPr>
                <w:ilvl w:val="0"/>
                <w:numId w:val="0"/>
              </w:numPr>
              <w:ind w:right="450"/>
            </w:pPr>
            <w:r>
              <w:t xml:space="preserve">An introduction into </w:t>
            </w:r>
            <w:r w:rsidR="00173F72">
              <w:t xml:space="preserve">most widely used micromachining methods will </w:t>
            </w:r>
            <w:r w:rsidR="00D95B57">
              <w:t xml:space="preserve">lead to more effective learning in </w:t>
            </w:r>
            <w:r w:rsidR="002F2305">
              <w:t>the related</w:t>
            </w:r>
            <w:r w:rsidR="00F00AB7">
              <w:t xml:space="preserve"> activities.</w:t>
            </w:r>
          </w:p>
        </w:tc>
      </w:tr>
      <w:tr w:rsidR="006714D8" w:rsidRPr="004B4CE7" w14:paraId="2D1103F7" w14:textId="77777777" w:rsidTr="005D033C">
        <w:trPr>
          <w:cantSplit/>
          <w:trHeight w:val="800"/>
        </w:trPr>
        <w:tc>
          <w:tcPr>
            <w:tcW w:w="2995" w:type="dxa"/>
            <w:vAlign w:val="center"/>
          </w:tcPr>
          <w:p w14:paraId="283BC839" w14:textId="77777777" w:rsidR="006714D8" w:rsidRDefault="006714D8" w:rsidP="000A691F">
            <w:pPr>
              <w:pStyle w:val="Header"/>
              <w:rPr>
                <w:u w:val="single"/>
              </w:rPr>
            </w:pPr>
          </w:p>
          <w:p w14:paraId="187CFDDD" w14:textId="77777777" w:rsidR="006714D8" w:rsidRPr="002F2305" w:rsidRDefault="006714D8" w:rsidP="000A691F">
            <w:pPr>
              <w:pStyle w:val="Header"/>
              <w:rPr>
                <w:u w:val="single"/>
              </w:rPr>
            </w:pPr>
            <w:r>
              <w:rPr>
                <w:u w:val="single"/>
              </w:rPr>
              <w:t>Activity 1:</w:t>
            </w:r>
          </w:p>
          <w:p w14:paraId="0E23C1E2" w14:textId="77777777" w:rsidR="006714D8" w:rsidRDefault="006714D8" w:rsidP="000A691F">
            <w:pPr>
              <w:pStyle w:val="Header"/>
            </w:pPr>
            <w:r>
              <w:t>Complete the “</w:t>
            </w:r>
            <w:r w:rsidR="000A01B1">
              <w:t>MEMS Micromachining</w:t>
            </w:r>
            <w:r>
              <w:t xml:space="preserve"> Terminology Activity”.   </w:t>
            </w:r>
          </w:p>
          <w:p w14:paraId="0CD1B03B" w14:textId="77777777" w:rsidR="006714D8" w:rsidRPr="004B4CE7" w:rsidRDefault="006714D8" w:rsidP="000A691F">
            <w:pPr>
              <w:pStyle w:val="Header"/>
            </w:pPr>
          </w:p>
        </w:tc>
        <w:tc>
          <w:tcPr>
            <w:tcW w:w="3420" w:type="dxa"/>
            <w:vAlign w:val="center"/>
          </w:tcPr>
          <w:p w14:paraId="63627297" w14:textId="77777777" w:rsidR="006714D8" w:rsidRDefault="006714D8" w:rsidP="002F2305">
            <w:pPr>
              <w:pStyle w:val="Header"/>
            </w:pPr>
            <w:r>
              <w:t xml:space="preserve">This is a crossword puzzle of </w:t>
            </w:r>
            <w:r w:rsidR="000A01B1">
              <w:t>micromachining</w:t>
            </w:r>
            <w:r>
              <w:t xml:space="preserve"> terms and their meanings.</w:t>
            </w:r>
          </w:p>
          <w:p w14:paraId="52D2FCAC" w14:textId="77777777" w:rsidR="006714D8" w:rsidRPr="007A3184" w:rsidDel="007C60BC" w:rsidRDefault="006714D8" w:rsidP="002F2305">
            <w:pPr>
              <w:pStyle w:val="Header"/>
            </w:pPr>
            <w:r>
              <w:t>This activity could be a homework or classroom assignment.</w:t>
            </w:r>
            <w:r w:rsidR="00C65252">
              <w:t xml:space="preserve">  There is also an on-line version available through SCME.</w:t>
            </w:r>
          </w:p>
        </w:tc>
        <w:tc>
          <w:tcPr>
            <w:tcW w:w="3240" w:type="dxa"/>
            <w:vAlign w:val="center"/>
          </w:tcPr>
          <w:p w14:paraId="033428F5" w14:textId="77777777" w:rsidR="006714D8" w:rsidRDefault="006714D8" w:rsidP="001872F7">
            <w:pPr>
              <w:pStyle w:val="Header"/>
            </w:pPr>
            <w:r>
              <w:t xml:space="preserve">Provides participants with a review of the terminology associated with </w:t>
            </w:r>
            <w:r w:rsidR="000A01B1">
              <w:t>three widely used MEMS micromachining methods:  surface, bulk and LIGA.</w:t>
            </w:r>
          </w:p>
          <w:p w14:paraId="0313E3A6" w14:textId="77777777" w:rsidR="006714D8" w:rsidRPr="004B4CE7" w:rsidRDefault="006714D8" w:rsidP="001872F7">
            <w:pPr>
              <w:pStyle w:val="Header"/>
            </w:pPr>
          </w:p>
        </w:tc>
      </w:tr>
      <w:tr w:rsidR="0026048B" w:rsidRPr="004B4CE7" w14:paraId="30DEE597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00D1EF19" w14:textId="77777777" w:rsidR="0026048B" w:rsidRDefault="0026048B" w:rsidP="00760733">
            <w:pPr>
              <w:pStyle w:val="Header"/>
            </w:pPr>
            <w:r>
              <w:rPr>
                <w:u w:val="single"/>
              </w:rPr>
              <w:t>Activity 2</w:t>
            </w:r>
            <w:r w:rsidR="00BF487C">
              <w:rPr>
                <w:u w:val="single"/>
              </w:rPr>
              <w:t>:</w:t>
            </w:r>
          </w:p>
          <w:p w14:paraId="10CE5226" w14:textId="77777777" w:rsidR="0026048B" w:rsidRPr="0026048B" w:rsidRDefault="0026048B" w:rsidP="000A01B1">
            <w:pPr>
              <w:pStyle w:val="Header"/>
            </w:pPr>
            <w:r>
              <w:t>Complete the “</w:t>
            </w:r>
            <w:r w:rsidR="000A01B1">
              <w:t xml:space="preserve">MEMS Micromachining Research </w:t>
            </w:r>
            <w:r>
              <w:t>Activity”.</w:t>
            </w:r>
          </w:p>
        </w:tc>
        <w:tc>
          <w:tcPr>
            <w:tcW w:w="3420" w:type="dxa"/>
            <w:vAlign w:val="center"/>
          </w:tcPr>
          <w:p w14:paraId="56323AE5" w14:textId="77777777" w:rsidR="0026048B" w:rsidRDefault="007B3CA8" w:rsidP="001D2540">
            <w:pPr>
              <w:pStyle w:val="Header"/>
            </w:pPr>
            <w:r>
              <w:t xml:space="preserve">This is a research activity in which participants study and outline the fabrication process of a specific </w:t>
            </w:r>
            <w:proofErr w:type="spellStart"/>
            <w:r>
              <w:t>microcomponent</w:t>
            </w:r>
            <w:proofErr w:type="spellEnd"/>
            <w:r>
              <w:t>.</w:t>
            </w:r>
          </w:p>
        </w:tc>
        <w:tc>
          <w:tcPr>
            <w:tcW w:w="3240" w:type="dxa"/>
            <w:vAlign w:val="center"/>
          </w:tcPr>
          <w:p w14:paraId="600A4648" w14:textId="77777777" w:rsidR="0026048B" w:rsidRDefault="00C65252" w:rsidP="001D2540">
            <w:pPr>
              <w:pStyle w:val="Header"/>
            </w:pPr>
            <w:r>
              <w:t>This activity</w:t>
            </w:r>
            <w:r w:rsidR="00584D29">
              <w:t xml:space="preserve"> allow</w:t>
            </w:r>
            <w:r>
              <w:t>s</w:t>
            </w:r>
            <w:r w:rsidR="00584D29">
              <w:t xml:space="preserve"> participants to further explore the various micromachining methods.  Participants gain more insight into the types of MEMS fabricated under each method and into the specific process steps.</w:t>
            </w:r>
          </w:p>
          <w:p w14:paraId="05372DA6" w14:textId="77777777" w:rsidR="00584D29" w:rsidRDefault="00584D29" w:rsidP="001D2540">
            <w:pPr>
              <w:pStyle w:val="Header"/>
            </w:pPr>
          </w:p>
        </w:tc>
      </w:tr>
      <w:tr w:rsidR="00D76AC9" w:rsidRPr="004B4CE7" w14:paraId="37972F32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483B57B4" w14:textId="173B6C79" w:rsidR="00D76AC9" w:rsidRPr="00D76AC9" w:rsidRDefault="00D76AC9" w:rsidP="00D76AC9">
            <w:pPr>
              <w:pStyle w:val="Header"/>
            </w:pPr>
            <w:r>
              <w:rPr>
                <w:u w:val="single"/>
              </w:rPr>
              <w:t>LIGA Activities</w:t>
            </w:r>
            <w:r>
              <w:t xml:space="preserve"> </w:t>
            </w:r>
          </w:p>
        </w:tc>
        <w:tc>
          <w:tcPr>
            <w:tcW w:w="3420" w:type="dxa"/>
            <w:vAlign w:val="center"/>
          </w:tcPr>
          <w:p w14:paraId="27A06970" w14:textId="627CB9C1" w:rsidR="00D76AC9" w:rsidRDefault="00D76AC9" w:rsidP="00002089">
            <w:pPr>
              <w:pStyle w:val="Header"/>
            </w:pPr>
            <w:r>
              <w:t>These four activities are found in another learning module: LIGA Micromachining Activities</w:t>
            </w:r>
          </w:p>
        </w:tc>
        <w:tc>
          <w:tcPr>
            <w:tcW w:w="3240" w:type="dxa"/>
            <w:vAlign w:val="center"/>
          </w:tcPr>
          <w:p w14:paraId="4FF9A762" w14:textId="65EEFE79" w:rsidR="00D76AC9" w:rsidRDefault="00D76AC9" w:rsidP="00584D29">
            <w:pPr>
              <w:pStyle w:val="Header"/>
            </w:pPr>
            <w:r>
              <w:t>A SCME kit is required to complete 2 of the 4 activities.</w:t>
            </w:r>
          </w:p>
        </w:tc>
      </w:tr>
      <w:tr w:rsidR="006448F6" w:rsidRPr="004B4CE7" w14:paraId="531EB55D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721A92BE" w14:textId="77777777" w:rsidR="006448F6" w:rsidRDefault="006448F6" w:rsidP="00760733">
            <w:pPr>
              <w:pStyle w:val="Header"/>
              <w:rPr>
                <w:u w:val="single"/>
              </w:rPr>
            </w:pPr>
            <w:r w:rsidRPr="006448F6">
              <w:rPr>
                <w:u w:val="single"/>
              </w:rPr>
              <w:t xml:space="preserve">LIGA </w:t>
            </w:r>
            <w:r w:rsidR="00BD2862">
              <w:rPr>
                <w:u w:val="single"/>
              </w:rPr>
              <w:t>Research Activity</w:t>
            </w:r>
          </w:p>
          <w:p w14:paraId="007C6868" w14:textId="77777777" w:rsidR="006448F6" w:rsidRPr="006448F6" w:rsidRDefault="00BD2862" w:rsidP="00760733">
            <w:pPr>
              <w:pStyle w:val="Header"/>
            </w:pPr>
            <w:r>
              <w:t>Complete the LIGA Research Activity</w:t>
            </w:r>
          </w:p>
        </w:tc>
        <w:tc>
          <w:tcPr>
            <w:tcW w:w="3420" w:type="dxa"/>
            <w:vAlign w:val="center"/>
          </w:tcPr>
          <w:p w14:paraId="1CA54E3D" w14:textId="77777777" w:rsidR="00D76AC9" w:rsidRDefault="00D76AC9" w:rsidP="00002089">
            <w:pPr>
              <w:pStyle w:val="Header"/>
            </w:pPr>
          </w:p>
          <w:p w14:paraId="3FBE081E" w14:textId="77777777" w:rsidR="006448F6" w:rsidRDefault="00BD2862" w:rsidP="00002089">
            <w:pPr>
              <w:pStyle w:val="Header"/>
            </w:pPr>
            <w:r>
              <w:t>This activity allows students to further explore LIGA micromachining and its process steps.</w:t>
            </w:r>
          </w:p>
          <w:p w14:paraId="784A326D" w14:textId="77777777" w:rsidR="00BD2862" w:rsidRDefault="00BD2862" w:rsidP="00002089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517D687F" w14:textId="77777777" w:rsidR="006448F6" w:rsidRDefault="00BD2862" w:rsidP="00584D29">
            <w:pPr>
              <w:pStyle w:val="Header"/>
            </w:pPr>
            <w:r>
              <w:t>Further exploration of LIGA demonstrates the growing importance of LIGA in MEMS fabrication.</w:t>
            </w:r>
          </w:p>
        </w:tc>
      </w:tr>
      <w:tr w:rsidR="00BD2862" w:rsidRPr="004B4CE7" w14:paraId="5436A33A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0CB72B51" w14:textId="77777777" w:rsidR="00D76AC9" w:rsidRDefault="00D76AC9" w:rsidP="00760733">
            <w:pPr>
              <w:pStyle w:val="Header"/>
              <w:rPr>
                <w:u w:val="single"/>
              </w:rPr>
            </w:pPr>
          </w:p>
          <w:p w14:paraId="5C2099D5" w14:textId="77777777" w:rsidR="00BD2862" w:rsidRDefault="00BD2862" w:rsidP="00760733">
            <w:pPr>
              <w:pStyle w:val="Header"/>
            </w:pPr>
            <w:r>
              <w:rPr>
                <w:u w:val="single"/>
              </w:rPr>
              <w:t>LIGA Micromachining Simulation – I and II</w:t>
            </w:r>
          </w:p>
          <w:p w14:paraId="6A057BE5" w14:textId="77777777" w:rsidR="00BD2862" w:rsidRDefault="00BD2862" w:rsidP="00760733">
            <w:pPr>
              <w:pStyle w:val="Header"/>
              <w:rPr>
                <w:i/>
              </w:rPr>
            </w:pPr>
            <w:r>
              <w:t xml:space="preserve">This simulation requires the SCME kit:  </w:t>
            </w:r>
            <w:r w:rsidRPr="00BD2862">
              <w:rPr>
                <w:i/>
              </w:rPr>
              <w:t>LIGA Micromachining:  Lithography &amp; Electroplating</w:t>
            </w:r>
          </w:p>
          <w:p w14:paraId="69BA738B" w14:textId="77777777" w:rsidR="00D76AC9" w:rsidRPr="00BD2862" w:rsidRDefault="00D76AC9" w:rsidP="00760733">
            <w:pPr>
              <w:pStyle w:val="Header"/>
            </w:pPr>
          </w:p>
        </w:tc>
        <w:tc>
          <w:tcPr>
            <w:tcW w:w="3420" w:type="dxa"/>
            <w:vAlign w:val="center"/>
          </w:tcPr>
          <w:p w14:paraId="30EF7C4E" w14:textId="77777777" w:rsidR="00BD2862" w:rsidRDefault="00BD2862" w:rsidP="00002089">
            <w:pPr>
              <w:pStyle w:val="Header"/>
            </w:pPr>
            <w:r>
              <w:t>Order the kit through the SCME website while supply lasts (http://scme-nm.org)</w:t>
            </w:r>
          </w:p>
        </w:tc>
        <w:tc>
          <w:tcPr>
            <w:tcW w:w="3240" w:type="dxa"/>
            <w:vAlign w:val="center"/>
          </w:tcPr>
          <w:p w14:paraId="6E8089E2" w14:textId="77777777" w:rsidR="00BD2862" w:rsidRDefault="00BD2862" w:rsidP="00584D29">
            <w:pPr>
              <w:pStyle w:val="Header"/>
            </w:pPr>
            <w:r>
              <w:t>These activities provide a hands-on opportunity to simulate the LIGA processes of lithography and electroplating.</w:t>
            </w:r>
          </w:p>
        </w:tc>
      </w:tr>
      <w:tr w:rsidR="00BD2862" w:rsidRPr="004B4CE7" w14:paraId="5F162085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4F20D949" w14:textId="77777777" w:rsidR="00BD2862" w:rsidRDefault="00BD2862" w:rsidP="00760733">
            <w:pPr>
              <w:pStyle w:val="Header"/>
            </w:pPr>
            <w:r>
              <w:rPr>
                <w:u w:val="single"/>
              </w:rPr>
              <w:t>LIGA Micromachining Terminology Activity</w:t>
            </w:r>
          </w:p>
          <w:p w14:paraId="3A3CB0F8" w14:textId="77777777" w:rsidR="00BD2862" w:rsidRPr="00BD2862" w:rsidRDefault="00BD2862" w:rsidP="00760733">
            <w:pPr>
              <w:pStyle w:val="Header"/>
            </w:pPr>
            <w:r>
              <w:t>Complete this terminology activity</w:t>
            </w:r>
          </w:p>
        </w:tc>
        <w:tc>
          <w:tcPr>
            <w:tcW w:w="3420" w:type="dxa"/>
            <w:vAlign w:val="center"/>
          </w:tcPr>
          <w:p w14:paraId="0C83C180" w14:textId="77777777" w:rsidR="00D76AC9" w:rsidRDefault="00D76AC9" w:rsidP="00002089">
            <w:pPr>
              <w:pStyle w:val="Header"/>
            </w:pPr>
          </w:p>
          <w:p w14:paraId="6F6EE63E" w14:textId="77777777" w:rsidR="00BD2862" w:rsidRDefault="00BD2862" w:rsidP="00002089">
            <w:pPr>
              <w:pStyle w:val="Header"/>
            </w:pPr>
            <w:r>
              <w:t xml:space="preserve">This is a crossword puzzle of LIGA terms and definitions.  This activity could be used as an in-class or out-of-class assignment. </w:t>
            </w:r>
          </w:p>
          <w:p w14:paraId="455DDFB4" w14:textId="77777777" w:rsidR="00D76AC9" w:rsidRDefault="00D76AC9" w:rsidP="00002089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3D5BCC6A" w14:textId="77777777" w:rsidR="00BD2862" w:rsidRDefault="00BD2862" w:rsidP="00584D29">
            <w:pPr>
              <w:pStyle w:val="Header"/>
            </w:pPr>
            <w:r>
              <w:t>Provides participants with a review of the terminology associated with LIGA micromachining.</w:t>
            </w:r>
          </w:p>
          <w:p w14:paraId="05BDD80D" w14:textId="77777777" w:rsidR="00BD2862" w:rsidRDefault="00BD2862" w:rsidP="00584D29">
            <w:pPr>
              <w:pStyle w:val="Header"/>
            </w:pPr>
          </w:p>
        </w:tc>
      </w:tr>
      <w:tr w:rsidR="006537B7" w:rsidRPr="004B4CE7" w14:paraId="55785534" w14:textId="77777777" w:rsidTr="005D033C">
        <w:trPr>
          <w:cantSplit/>
          <w:trHeight w:val="1152"/>
        </w:trPr>
        <w:tc>
          <w:tcPr>
            <w:tcW w:w="2995" w:type="dxa"/>
            <w:vAlign w:val="center"/>
          </w:tcPr>
          <w:p w14:paraId="6EEA7830" w14:textId="77777777" w:rsidR="006537B7" w:rsidRDefault="00002089" w:rsidP="00760733">
            <w:pPr>
              <w:pStyle w:val="Header"/>
            </w:pPr>
            <w:r>
              <w:rPr>
                <w:u w:val="single"/>
              </w:rPr>
              <w:t>Assessment</w:t>
            </w:r>
            <w:r w:rsidR="00BF487C">
              <w:rPr>
                <w:u w:val="single"/>
              </w:rPr>
              <w:t>:</w:t>
            </w:r>
          </w:p>
          <w:p w14:paraId="3411BC87" w14:textId="5F3D1244" w:rsidR="00002089" w:rsidRPr="00002089" w:rsidRDefault="00002089" w:rsidP="00D76AC9">
            <w:pPr>
              <w:pStyle w:val="Header"/>
            </w:pPr>
            <w:r>
              <w:t xml:space="preserve">Complete the </w:t>
            </w:r>
            <w:r w:rsidR="00C65252">
              <w:t xml:space="preserve">Final </w:t>
            </w:r>
            <w:r w:rsidR="00D76AC9">
              <w:t>Assessment</w:t>
            </w:r>
            <w:r w:rsidR="00C65252">
              <w:t>.</w:t>
            </w:r>
          </w:p>
        </w:tc>
        <w:tc>
          <w:tcPr>
            <w:tcW w:w="3420" w:type="dxa"/>
            <w:vAlign w:val="center"/>
          </w:tcPr>
          <w:p w14:paraId="1CE38FC7" w14:textId="77777777" w:rsidR="006714D8" w:rsidRDefault="006714D8" w:rsidP="00002089">
            <w:pPr>
              <w:pStyle w:val="Header"/>
            </w:pPr>
          </w:p>
          <w:p w14:paraId="610F7851" w14:textId="77777777" w:rsidR="006714D8" w:rsidRPr="004B4CE7" w:rsidRDefault="006714D8" w:rsidP="00002089">
            <w:pPr>
              <w:pStyle w:val="Header"/>
            </w:pPr>
          </w:p>
        </w:tc>
        <w:tc>
          <w:tcPr>
            <w:tcW w:w="3240" w:type="dxa"/>
            <w:vAlign w:val="center"/>
          </w:tcPr>
          <w:p w14:paraId="2987B004" w14:textId="77777777" w:rsidR="006537B7" w:rsidRPr="004B4CE7" w:rsidRDefault="001D2540" w:rsidP="00584D29">
            <w:pPr>
              <w:pStyle w:val="Header"/>
            </w:pPr>
            <w:r>
              <w:t xml:space="preserve">Participants are evaluated on what they </w:t>
            </w:r>
            <w:r w:rsidR="005D033C">
              <w:t xml:space="preserve">have learned about </w:t>
            </w:r>
            <w:r w:rsidR="00584D29">
              <w:t>MEMS micromachining, the advantages and disadvantages of each, and the types of MEMS fabricated using each method.</w:t>
            </w:r>
            <w:r>
              <w:t xml:space="preserve">  </w:t>
            </w:r>
          </w:p>
        </w:tc>
      </w:tr>
    </w:tbl>
    <w:p w14:paraId="04699E3C" w14:textId="77777777" w:rsidR="00522899" w:rsidRDefault="00522899" w:rsidP="001D2540"/>
    <w:p w14:paraId="62E81E50" w14:textId="77777777" w:rsidR="00BD2862" w:rsidRPr="00065BD6" w:rsidRDefault="00BD2862" w:rsidP="00BD2862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>).</w:t>
      </w:r>
    </w:p>
    <w:sectPr w:rsidR="00BD2862" w:rsidRPr="00065BD6" w:rsidSect="006448F6">
      <w:footerReference w:type="default" r:id="rId10"/>
      <w:pgSz w:w="12240" w:h="15840"/>
      <w:pgMar w:top="1530" w:right="1800" w:bottom="162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7E3E7" w14:textId="77777777" w:rsidR="00BD2862" w:rsidRDefault="00BD2862" w:rsidP="00BA6341">
      <w:r>
        <w:separator/>
      </w:r>
    </w:p>
  </w:endnote>
  <w:endnote w:type="continuationSeparator" w:id="0">
    <w:p w14:paraId="058B064B" w14:textId="77777777" w:rsidR="00BD2862" w:rsidRDefault="00BD2862" w:rsidP="00BA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1F691" w14:textId="77777777" w:rsidR="00BD2862" w:rsidRPr="004B6382" w:rsidRDefault="00BD2862" w:rsidP="00BA6341">
    <w:pPr>
      <w:pStyle w:val="Footer"/>
      <w:tabs>
        <w:tab w:val="center" w:pos="5310"/>
        <w:tab w:val="right" w:pos="10800"/>
      </w:tabs>
      <w:jc w:val="both"/>
      <w:rPr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>
      <w:rPr>
        <w:i/>
        <w:sz w:val="22"/>
      </w:rPr>
      <w:fldChar w:fldCharType="begin"/>
    </w:r>
    <w:r>
      <w:rPr>
        <w:i/>
        <w:sz w:val="22"/>
      </w:rPr>
      <w:instrText xml:space="preserve"> PAGE  \* Arabic  \* MERGEFORMAT </w:instrText>
    </w:r>
    <w:r>
      <w:rPr>
        <w:i/>
        <w:sz w:val="22"/>
      </w:rPr>
      <w:fldChar w:fldCharType="separate"/>
    </w:r>
    <w:r w:rsidR="000D04DE">
      <w:rPr>
        <w:i/>
        <w:noProof/>
        <w:sz w:val="22"/>
      </w:rPr>
      <w:t>3</w:t>
    </w:r>
    <w:r>
      <w:rPr>
        <w:i/>
        <w:sz w:val="22"/>
      </w:rPr>
      <w:fldChar w:fldCharType="end"/>
    </w:r>
    <w:r>
      <w:rPr>
        <w:i/>
        <w:sz w:val="22"/>
      </w:rPr>
      <w:t xml:space="preserve"> of </w:t>
    </w:r>
    <w:fldSimple w:instr=" NUMPAGES  \* Arabic  \* MERGEFORMAT ">
      <w:r w:rsidR="000D04DE" w:rsidRPr="000D04DE">
        <w:rPr>
          <w:i/>
          <w:noProof/>
          <w:sz w:val="22"/>
        </w:rPr>
        <w:t>4</w:t>
      </w:r>
    </w:fldSimple>
  </w:p>
  <w:p w14:paraId="35AD0DF1" w14:textId="77777777" w:rsidR="00BD2862" w:rsidRDefault="00BD2862" w:rsidP="00BA6341">
    <w:pPr>
      <w:pStyle w:val="Footer"/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D04DE">
      <w:rPr>
        <w:i/>
        <w:noProof/>
        <w:sz w:val="22"/>
      </w:rPr>
      <w:t>Fab_MicroM_P1_LM_MAP_IG_June2017.docx</w:t>
    </w:r>
    <w:r w:rsidRPr="004B6382">
      <w:rPr>
        <w:i/>
        <w:sz w:val="22"/>
      </w:rPr>
      <w:fldChar w:fldCharType="end"/>
    </w:r>
    <w:r>
      <w:rPr>
        <w:i/>
        <w:sz w:val="22"/>
      </w:rPr>
      <w:tab/>
    </w:r>
    <w:r>
      <w:rPr>
        <w:i/>
        <w:sz w:val="22"/>
      </w:rPr>
      <w:tab/>
      <w:t>MEMS Micromachining Learning Module Map</w:t>
    </w:r>
    <w:r w:rsidRPr="004B6382">
      <w:rPr>
        <w:i/>
        <w:sz w:val="22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FDDF1" w14:textId="77777777" w:rsidR="00BD2862" w:rsidRDefault="00BD2862" w:rsidP="00BA6341">
      <w:r>
        <w:separator/>
      </w:r>
    </w:p>
  </w:footnote>
  <w:footnote w:type="continuationSeparator" w:id="0">
    <w:p w14:paraId="439BD31A" w14:textId="77777777" w:rsidR="00BD2862" w:rsidRDefault="00BD2862" w:rsidP="00BA6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7FCC"/>
    <w:multiLevelType w:val="hybridMultilevel"/>
    <w:tmpl w:val="8E04B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0F0F93"/>
    <w:multiLevelType w:val="hybridMultilevel"/>
    <w:tmpl w:val="8F3A4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C01C8"/>
    <w:multiLevelType w:val="hybridMultilevel"/>
    <w:tmpl w:val="236C2D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56805"/>
    <w:multiLevelType w:val="hybridMultilevel"/>
    <w:tmpl w:val="8AD6D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531AE"/>
    <w:multiLevelType w:val="hybridMultilevel"/>
    <w:tmpl w:val="3AF643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5CA1315"/>
    <w:multiLevelType w:val="hybridMultilevel"/>
    <w:tmpl w:val="6200F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7E5582"/>
    <w:multiLevelType w:val="hybridMultilevel"/>
    <w:tmpl w:val="6C6CDE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2D"/>
    <w:rsid w:val="00002089"/>
    <w:rsid w:val="000169F6"/>
    <w:rsid w:val="00022697"/>
    <w:rsid w:val="00057F31"/>
    <w:rsid w:val="00062385"/>
    <w:rsid w:val="0006519B"/>
    <w:rsid w:val="0006672A"/>
    <w:rsid w:val="0008239A"/>
    <w:rsid w:val="000A01B1"/>
    <w:rsid w:val="000A38BE"/>
    <w:rsid w:val="000A691F"/>
    <w:rsid w:val="000D04DE"/>
    <w:rsid w:val="000E2A81"/>
    <w:rsid w:val="000F0261"/>
    <w:rsid w:val="00127329"/>
    <w:rsid w:val="00143292"/>
    <w:rsid w:val="001549D5"/>
    <w:rsid w:val="001636A6"/>
    <w:rsid w:val="00173F72"/>
    <w:rsid w:val="001872F7"/>
    <w:rsid w:val="001A137A"/>
    <w:rsid w:val="001A2987"/>
    <w:rsid w:val="001A6B62"/>
    <w:rsid w:val="001C2FA7"/>
    <w:rsid w:val="001D2540"/>
    <w:rsid w:val="001D5176"/>
    <w:rsid w:val="001E2956"/>
    <w:rsid w:val="001E29F5"/>
    <w:rsid w:val="001F75D7"/>
    <w:rsid w:val="00205C85"/>
    <w:rsid w:val="00206839"/>
    <w:rsid w:val="00225FD2"/>
    <w:rsid w:val="00245147"/>
    <w:rsid w:val="00250C91"/>
    <w:rsid w:val="0026048B"/>
    <w:rsid w:val="002654DD"/>
    <w:rsid w:val="002657CD"/>
    <w:rsid w:val="002B75B8"/>
    <w:rsid w:val="002F2305"/>
    <w:rsid w:val="002F4555"/>
    <w:rsid w:val="0031160F"/>
    <w:rsid w:val="00330D8E"/>
    <w:rsid w:val="00331C35"/>
    <w:rsid w:val="00344BEB"/>
    <w:rsid w:val="003A6557"/>
    <w:rsid w:val="003C6931"/>
    <w:rsid w:val="003F6700"/>
    <w:rsid w:val="003F69F2"/>
    <w:rsid w:val="00410AEB"/>
    <w:rsid w:val="00425E92"/>
    <w:rsid w:val="00487F7E"/>
    <w:rsid w:val="004917AE"/>
    <w:rsid w:val="004A6066"/>
    <w:rsid w:val="004B4CE7"/>
    <w:rsid w:val="004E1D21"/>
    <w:rsid w:val="004E405A"/>
    <w:rsid w:val="004E56CF"/>
    <w:rsid w:val="004F237F"/>
    <w:rsid w:val="00522899"/>
    <w:rsid w:val="00556465"/>
    <w:rsid w:val="005658F7"/>
    <w:rsid w:val="00584D29"/>
    <w:rsid w:val="00594AFF"/>
    <w:rsid w:val="005B5C3F"/>
    <w:rsid w:val="005C2FF1"/>
    <w:rsid w:val="005D033C"/>
    <w:rsid w:val="005E6CED"/>
    <w:rsid w:val="005F432B"/>
    <w:rsid w:val="006448F6"/>
    <w:rsid w:val="006537B7"/>
    <w:rsid w:val="00661215"/>
    <w:rsid w:val="006714D8"/>
    <w:rsid w:val="006C2A7B"/>
    <w:rsid w:val="0073720E"/>
    <w:rsid w:val="0073779E"/>
    <w:rsid w:val="00740211"/>
    <w:rsid w:val="00750B14"/>
    <w:rsid w:val="00760733"/>
    <w:rsid w:val="0077389A"/>
    <w:rsid w:val="007817E7"/>
    <w:rsid w:val="007A2717"/>
    <w:rsid w:val="007A3184"/>
    <w:rsid w:val="007B1758"/>
    <w:rsid w:val="007B3CA8"/>
    <w:rsid w:val="007C391B"/>
    <w:rsid w:val="007C60BC"/>
    <w:rsid w:val="007C6E8F"/>
    <w:rsid w:val="00800781"/>
    <w:rsid w:val="008067B1"/>
    <w:rsid w:val="008520AE"/>
    <w:rsid w:val="008613B8"/>
    <w:rsid w:val="00881FB3"/>
    <w:rsid w:val="008D6A6E"/>
    <w:rsid w:val="00901EFE"/>
    <w:rsid w:val="00913220"/>
    <w:rsid w:val="00920724"/>
    <w:rsid w:val="00937958"/>
    <w:rsid w:val="00994CF3"/>
    <w:rsid w:val="009C30A7"/>
    <w:rsid w:val="009D2299"/>
    <w:rsid w:val="009D5E10"/>
    <w:rsid w:val="00A039E7"/>
    <w:rsid w:val="00A12704"/>
    <w:rsid w:val="00A17F09"/>
    <w:rsid w:val="00A20EE5"/>
    <w:rsid w:val="00A37C88"/>
    <w:rsid w:val="00A67E07"/>
    <w:rsid w:val="00AB2059"/>
    <w:rsid w:val="00AE21A9"/>
    <w:rsid w:val="00AE3E1C"/>
    <w:rsid w:val="00AF7F5F"/>
    <w:rsid w:val="00B14DBB"/>
    <w:rsid w:val="00B456A3"/>
    <w:rsid w:val="00B45A75"/>
    <w:rsid w:val="00B50656"/>
    <w:rsid w:val="00B53D23"/>
    <w:rsid w:val="00B8466D"/>
    <w:rsid w:val="00B95584"/>
    <w:rsid w:val="00BA6341"/>
    <w:rsid w:val="00BD2862"/>
    <w:rsid w:val="00BD64A7"/>
    <w:rsid w:val="00BE5B3A"/>
    <w:rsid w:val="00BF3657"/>
    <w:rsid w:val="00BF4198"/>
    <w:rsid w:val="00BF487C"/>
    <w:rsid w:val="00C36B21"/>
    <w:rsid w:val="00C42FCF"/>
    <w:rsid w:val="00C4577E"/>
    <w:rsid w:val="00C65252"/>
    <w:rsid w:val="00C97637"/>
    <w:rsid w:val="00CC187F"/>
    <w:rsid w:val="00CD7E8C"/>
    <w:rsid w:val="00D149F2"/>
    <w:rsid w:val="00D42CC8"/>
    <w:rsid w:val="00D54874"/>
    <w:rsid w:val="00D76AC9"/>
    <w:rsid w:val="00D817C6"/>
    <w:rsid w:val="00D82475"/>
    <w:rsid w:val="00D8382D"/>
    <w:rsid w:val="00D95B57"/>
    <w:rsid w:val="00DA09EB"/>
    <w:rsid w:val="00DE0103"/>
    <w:rsid w:val="00E35F68"/>
    <w:rsid w:val="00E44C39"/>
    <w:rsid w:val="00E6094C"/>
    <w:rsid w:val="00E9624A"/>
    <w:rsid w:val="00EB1BE3"/>
    <w:rsid w:val="00EC3CD8"/>
    <w:rsid w:val="00EF49B6"/>
    <w:rsid w:val="00F00AB7"/>
    <w:rsid w:val="00F07C01"/>
    <w:rsid w:val="00F11287"/>
    <w:rsid w:val="00F22695"/>
    <w:rsid w:val="00F32FF3"/>
    <w:rsid w:val="00F704EE"/>
    <w:rsid w:val="00F72D7E"/>
    <w:rsid w:val="00F8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D9A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382D"/>
    <w:rPr>
      <w:sz w:val="24"/>
      <w:szCs w:val="24"/>
    </w:rPr>
  </w:style>
  <w:style w:type="paragraph" w:styleId="Heading1">
    <w:name w:val="heading 1"/>
    <w:basedOn w:val="Normal"/>
    <w:next w:val="Normal"/>
    <w:qFormat/>
    <w:rsid w:val="00D8382D"/>
    <w:pPr>
      <w:keepNext/>
      <w:jc w:val="center"/>
      <w:outlineLvl w:val="0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BEB"/>
    <w:pPr>
      <w:widowControl w:val="0"/>
      <w:tabs>
        <w:tab w:val="center" w:pos="4320"/>
        <w:tab w:val="right" w:pos="8640"/>
      </w:tabs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344BEB"/>
    <w:rPr>
      <w:sz w:val="24"/>
      <w:szCs w:val="24"/>
    </w:rPr>
  </w:style>
  <w:style w:type="paragraph" w:customStyle="1" w:styleId="BulletList">
    <w:name w:val="BulletList"/>
    <w:basedOn w:val="Normal"/>
    <w:next w:val="Normal"/>
    <w:qFormat/>
    <w:rsid w:val="00344BEB"/>
    <w:pPr>
      <w:keepLines/>
      <w:numPr>
        <w:numId w:val="3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</w:pPr>
    <w:rPr>
      <w:szCs w:val="20"/>
    </w:rPr>
  </w:style>
  <w:style w:type="paragraph" w:styleId="BodyText">
    <w:name w:val="Body Text"/>
    <w:basedOn w:val="Normal"/>
    <w:link w:val="BodyTextChar"/>
    <w:rsid w:val="00344BE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44BEB"/>
    <w:rPr>
      <w:sz w:val="24"/>
      <w:szCs w:val="24"/>
    </w:rPr>
  </w:style>
  <w:style w:type="paragraph" w:styleId="BalloonText">
    <w:name w:val="Balloon Text"/>
    <w:basedOn w:val="Normal"/>
    <w:link w:val="BalloonTextChar"/>
    <w:rsid w:val="00DA09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09E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A09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A0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09EB"/>
  </w:style>
  <w:style w:type="paragraph" w:styleId="CommentSubject">
    <w:name w:val="annotation subject"/>
    <w:basedOn w:val="CommentText"/>
    <w:next w:val="CommentText"/>
    <w:link w:val="CommentSubjectChar"/>
    <w:rsid w:val="00DA0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A09EB"/>
    <w:rPr>
      <w:b/>
      <w:bCs/>
    </w:rPr>
  </w:style>
  <w:style w:type="paragraph" w:styleId="Footer">
    <w:name w:val="footer"/>
    <w:basedOn w:val="Normal"/>
    <w:link w:val="FooterChar"/>
    <w:rsid w:val="00BA63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6341"/>
    <w:rPr>
      <w:sz w:val="24"/>
      <w:szCs w:val="24"/>
    </w:rPr>
  </w:style>
  <w:style w:type="paragraph" w:customStyle="1" w:styleId="txlb1">
    <w:name w:val="txlb1"/>
    <w:basedOn w:val="Normal"/>
    <w:rsid w:val="00BA6341"/>
    <w:pPr>
      <w:keepNext/>
      <w:widowControl w:val="0"/>
      <w:adjustRightInd w:val="0"/>
      <w:textAlignment w:val="baseline"/>
    </w:pPr>
    <w:rPr>
      <w:rFonts w:ascii="Arial Narrow" w:hAnsi="Arial Narrow"/>
      <w:b/>
      <w:color w:val="000000"/>
    </w:rPr>
  </w:style>
  <w:style w:type="paragraph" w:styleId="ListParagraph">
    <w:name w:val="List Paragraph"/>
    <w:basedOn w:val="Normal"/>
    <w:uiPriority w:val="34"/>
    <w:qFormat/>
    <w:rsid w:val="00737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rsid w:val="004E56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yperlink" Target="http://scme-nm.org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841</Words>
  <Characters>4797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Intel Corporation</Company>
  <LinksUpToDate>false</LinksUpToDate>
  <CharactersWithSpaces>5627</CharactersWithSpaces>
  <SharedDoc>false</SharedDoc>
  <HLinks>
    <vt:vector size="12" baseType="variant"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jlhyder</dc:creator>
  <cp:lastModifiedBy>MJ Willis</cp:lastModifiedBy>
  <cp:revision>3</cp:revision>
  <cp:lastPrinted>2017-06-20T16:27:00Z</cp:lastPrinted>
  <dcterms:created xsi:type="dcterms:W3CDTF">2017-06-20T16:27:00Z</dcterms:created>
  <dcterms:modified xsi:type="dcterms:W3CDTF">2017-06-20T16:30:00Z</dcterms:modified>
</cp:coreProperties>
</file>