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Open Sans" w:cs="Open Sans" w:eastAsia="Open Sans" w:hAnsi="Open Sans"/>
          <w:sz w:val="22"/>
          <w:szCs w:val="22"/>
        </w:rPr>
        <w:drawing>
          <wp:inline distB="114300" distT="114300" distL="114300" distR="114300">
            <wp:extent cx="5943600" cy="38100"/>
            <wp:effectExtent b="0" l="0" r="0" t="0"/>
            <wp:docPr descr="horizontal line" id="6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Videos for Module</w:t>
      </w:r>
      <w:r w:rsidDel="00000000" w:rsidR="00000000" w:rsidRPr="00000000">
        <w:rPr>
          <w:b w:val="1"/>
          <w:rtl w:val="0"/>
        </w:rPr>
        <w:t xml:space="preserve"> 3: </w:t>
      </w:r>
    </w:p>
    <w:p w:rsidR="00000000" w:rsidDel="00000000" w:rsidP="00000000" w:rsidRDefault="00000000" w:rsidRPr="00000000" w14:paraId="00000002">
      <w:pPr>
        <w:pStyle w:val="Title"/>
        <w:rPr/>
      </w:pPr>
      <w:bookmarkStart w:colFirst="0" w:colLast="0" w:name="_30j0zll" w:id="1"/>
      <w:bookmarkEnd w:id="1"/>
      <w:r w:rsidDel="00000000" w:rsidR="00000000" w:rsidRPr="00000000">
        <w:rPr>
          <w:b w:val="1"/>
          <w:rtl w:val="0"/>
        </w:rPr>
        <w:t xml:space="preserve">Electronic Components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Rule="auto"/>
        <w:rPr>
          <w:rFonts w:ascii="Times New Roman" w:cs="Times New Roman" w:eastAsia="Times New Roman" w:hAnsi="Times New Roman"/>
          <w:color w:val="8c7252"/>
        </w:rPr>
      </w:pPr>
      <w:r w:rsidDel="00000000" w:rsidR="00000000" w:rsidRPr="00000000">
        <w:rPr/>
        <w:drawing>
          <wp:inline distB="114300" distT="114300" distL="114300" distR="114300">
            <wp:extent cx="5943600" cy="38100"/>
            <wp:effectExtent b="0" l="0" r="0" t="0"/>
            <wp:docPr descr="horizontal line" id="5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7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What is ohm’s law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8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What is Resistor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9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Coding of resistors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10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How to use a multimeter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hanging="36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4a86e8"/>
          <w:sz w:val="24"/>
          <w:szCs w:val="24"/>
          <w:u w:val="single"/>
          <w:rtl w:val="0"/>
        </w:rPr>
        <w:t xml:space="preserve">The</w:t>
      </w:r>
      <w:hyperlink r:id="rId11">
        <w:r w:rsidDel="00000000" w:rsidR="00000000" w:rsidRPr="00000000">
          <w:rPr>
            <w:rFonts w:ascii="Georgia" w:cs="Georgia" w:eastAsia="Georgia" w:hAnsi="Georgia"/>
            <w:color w:val="4a86e8"/>
            <w:sz w:val="24"/>
            <w:szCs w:val="24"/>
            <w:u w:val="singl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Best Multimeter tutorial (HD)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before="0" w:line="360" w:lineRule="auto"/>
        <w:ind w:left="1440" w:hanging="360"/>
        <w:rPr>
          <w:rFonts w:ascii="Georgia" w:cs="Georgia" w:eastAsia="Georgia" w:hAnsi="Georgia"/>
          <w:sz w:val="24"/>
          <w:szCs w:val="24"/>
        </w:rPr>
      </w:pPr>
      <w:hyperlink r:id="rId13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How to Use a Multimeter - Beginner's Crash Course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ind w:left="72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rPr>
          <w:rFonts w:ascii="Georgia" w:cs="Georgia" w:eastAsia="Georgia" w:hAnsi="Georgia"/>
          <w:sz w:val="24"/>
          <w:szCs w:val="24"/>
        </w:rPr>
      </w:pPr>
      <w:hyperlink r:id="rId14">
        <w:r w:rsidDel="00000000" w:rsidR="00000000" w:rsidRPr="00000000">
          <w:rPr>
            <w:rFonts w:ascii="Georgia" w:cs="Georgia" w:eastAsia="Georgia" w:hAnsi="Georgia"/>
            <w:color w:val="1155cc"/>
            <w:sz w:val="24"/>
            <w:szCs w:val="24"/>
            <w:u w:val="single"/>
            <w:rtl w:val="0"/>
          </w:rPr>
          <w:t xml:space="preserve">What is a buzzer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120" w:before="0" w:line="360" w:lineRule="auto"/>
        <w:ind w:left="1440" w:hanging="36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Using the Arduino tone() function with a piezo speaker</w:t>
        </w:r>
      </w:hyperlink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Times New Roman"/>
  <w:font w:name="Georgia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7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5" w:firstLine="0"/>
      <w:jc w:val="center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  <w:rtl w:val="0"/>
      </w:rPr>
      <w:t xml:space="preserve">2016-2018 -- Shamsi Moussavi, Giuseppe Sena, Susanne Steiger-Escobar and Marina Bograd.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b="0" l="0" r="0" t="0"/>
          <wp:wrapSquare wrapText="bothSides" distB="0" distT="0" distL="0" distR="0"/>
          <wp:docPr id="1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b="0" l="0" r="0" t="0"/>
          <wp:wrapSquare wrapText="bothSides" distB="114300" distT="114300" distL="114300" distR="114300"/>
          <wp:docPr id="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0" l="1961" r="1961" t="0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5" w:firstLine="0"/>
      <w:jc w:val="center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  <w:rtl w:val="0"/>
      </w:rPr>
      <w:t xml:space="preserve">This material is based upon work supported by the </w:t>
    </w:r>
    <w:hyperlink r:id="rId4">
      <w:r w:rsidDel="00000000" w:rsidR="00000000" w:rsidRPr="00000000">
        <w:rPr>
          <w:rFonts w:ascii="Economica" w:cs="Economica" w:eastAsia="Economica" w:hAnsi="Economica"/>
          <w:color w:val="1155cc"/>
          <w:u w:val="single"/>
          <w:rtl w:val="0"/>
        </w:rPr>
        <w:t xml:space="preserve">National Science Foundation</w:t>
      </w:r>
    </w:hyperlink>
    <w:r w:rsidDel="00000000" w:rsidR="00000000" w:rsidRPr="00000000">
      <w:rPr>
        <w:rFonts w:ascii="Economica" w:cs="Economica" w:eastAsia="Economica" w:hAnsi="Economica"/>
        <w:rtl w:val="0"/>
      </w:rPr>
      <w:t xml:space="preserve"> under grant no. DUE-1501451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                                                                                         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5086350</wp:posOffset>
          </wp:positionH>
          <wp:positionV relativeFrom="paragraph">
            <wp:posOffset>352425</wp:posOffset>
          </wp:positionV>
          <wp:extent cx="1122759" cy="390525"/>
          <wp:effectExtent b="0" l="0" r="0" t="0"/>
          <wp:wrapSquare wrapText="bothSides" distB="114300" distT="114300" distL="114300" distR="114300"/>
          <wp:docPr descr="MassBay 01.png" id="2" name="image1.png"/>
          <a:graphic>
            <a:graphicData uri="http://schemas.openxmlformats.org/drawingml/2006/picture">
              <pic:pic>
                <pic:nvPicPr>
                  <pic:cNvPr descr="MassBay 0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b="0" l="0" r="0" t="0"/>
          <wp:wrapSquare wrapText="bothSides" distB="114300" distT="114300" distL="114300" distR="114300"/>
          <wp:docPr id="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E">
    <w:pPr>
      <w:pStyle w:val="Title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left"/>
      <w:rPr>
        <w:rFonts w:ascii="Times New Roman" w:cs="Times New Roman" w:eastAsia="Times New Roman" w:hAnsi="Times New Roman"/>
      </w:rPr>
    </w:pPr>
    <w:bookmarkStart w:colFirst="0" w:colLast="0" w:name="_1fob9te" w:id="2"/>
    <w:bookmarkEnd w:id="2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spacing w:before="200" w:line="360" w:lineRule="auto"/>
        <w:ind w:left="-15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360" w:lineRule="auto"/>
      <w:ind w:left="-15" w:right="0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480" w:line="240" w:lineRule="auto"/>
      <w:ind w:left="-15" w:right="1785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200" w:line="360" w:lineRule="auto"/>
      <w:ind w:left="-15" w:right="0" w:firstLine="0"/>
      <w:jc w:val="left"/>
    </w:pPr>
    <w:rPr>
      <w:rFonts w:ascii="Open Sans" w:cs="Open Sans" w:eastAsia="Open Sans" w:hAnsi="Open Sans"/>
      <w:b w:val="1"/>
      <w:i w:val="0"/>
      <w:smallCaps w:val="0"/>
      <w:strike w:val="0"/>
      <w:color w:val="8c7252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0" w:before="160" w:line="360" w:lineRule="auto"/>
      <w:ind w:left="-15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40" w:lineRule="auto"/>
      <w:ind w:left="0" w:right="0" w:firstLine="15"/>
      <w:jc w:val="left"/>
    </w:pPr>
    <w:rPr>
      <w:rFonts w:ascii="Economica" w:cs="Economica" w:eastAsia="Economica" w:hAnsi="Economica"/>
      <w:b w:val="0"/>
      <w:i w:val="0"/>
      <w:smallCaps w:val="0"/>
      <w:strike w:val="0"/>
      <w:color w:val="000000"/>
      <w:sz w:val="60"/>
      <w:szCs w:val="60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0" w:before="0" w:line="240" w:lineRule="auto"/>
      <w:ind w:left="-15" w:right="0" w:firstLine="0"/>
      <w:jc w:val="left"/>
    </w:pPr>
    <w:rPr>
      <w:rFonts w:ascii="Economica" w:cs="Economica" w:eastAsia="Economica" w:hAnsi="Economica"/>
      <w:b w:val="0"/>
      <w:i w:val="0"/>
      <w:smallCaps w:val="0"/>
      <w:strike w:val="0"/>
      <w:color w:val="999999"/>
      <w:sz w:val="28"/>
      <w:szCs w:val="2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outu.be/bF3OyQ3HwfU" TargetMode="External"/><Relationship Id="rId10" Type="http://schemas.openxmlformats.org/officeDocument/2006/relationships/hyperlink" Target="https://www.youtube.com/watch?v=sKuPd3XYwuA" TargetMode="External"/><Relationship Id="rId13" Type="http://schemas.openxmlformats.org/officeDocument/2006/relationships/hyperlink" Target="https://youtu.be/k2LgvmWNVwc" TargetMode="External"/><Relationship Id="rId12" Type="http://schemas.openxmlformats.org/officeDocument/2006/relationships/hyperlink" Target="https://youtu.be/bF3OyQ3Hwf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TZYlPQU9B4M" TargetMode="External"/><Relationship Id="rId15" Type="http://schemas.openxmlformats.org/officeDocument/2006/relationships/hyperlink" Target="https://youtu.be/1_LMAgO14z0" TargetMode="External"/><Relationship Id="rId14" Type="http://schemas.openxmlformats.org/officeDocument/2006/relationships/hyperlink" Target="https://en.wikipedia.org/wiki/Buzzer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yperlink" Target="https://www.youtube.com/watch?v=-mHLvtGjum4" TargetMode="External"/><Relationship Id="rId8" Type="http://schemas.openxmlformats.org/officeDocument/2006/relationships/hyperlink" Target="https://www.youtube.com/watch?v=Gc1wVdbVI0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6.png"/><Relationship Id="rId3" Type="http://schemas.openxmlformats.org/officeDocument/2006/relationships/image" Target="media/image5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